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Second tier rights are </w:t>
      </w:r>
      <w:r>
        <w:rPr>
          <w:b/>
          <w:i w:val="0"/>
          <w:smallCaps w:val="0"/>
          <w:strike w:val="0"/>
          <w:sz w:val="26"/>
          <w:u w:val="single"/>
        </w:rPr>
        <w:t>insecure</w:t>
      </w:r>
      <w:r>
        <w:rPr>
          <w:b/>
          <w:i w:val="0"/>
          <w:smallCaps w:val="0"/>
          <w:strike w:val="0"/>
          <w:sz w:val="26"/>
          <w:u w:val="none"/>
        </w:rPr>
        <w:t xml:space="preserve"> and </w:t>
      </w:r>
      <w:r>
        <w:rPr>
          <w:b/>
          <w:i w:val="0"/>
          <w:smallCaps w:val="0"/>
          <w:strike w:val="0"/>
          <w:sz w:val="26"/>
          <w:u w:val="single"/>
        </w:rPr>
        <w:t>inherently uncertain</w:t>
      </w:r>
    </w:p>
    <w:p>
      <w:pPr>
        <w:spacing w:after="80"/>
      </w:pPr>
      <w:r>
        <w:rPr>
          <w:b w:val="0"/>
          <w:i w:val="0"/>
          <w:smallCaps w:val="0"/>
          <w:strike w:val="0"/>
          <w:u w:val="none"/>
        </w:rPr>
        <w:t xml:space="preserve">Mark D. </w:t>
      </w:r>
      <w:r>
        <w:rPr>
          <w:b/>
          <w:i w:val="0"/>
          <w:smallCaps w:val="0"/>
          <w:strike w:val="0"/>
          <w:sz w:val="26"/>
          <w:u w:val="none"/>
        </w:rPr>
        <w:t>Janis</w:t>
      </w:r>
      <w:r>
        <w:rPr>
          <w:b/>
          <w:i w:val="0"/>
          <w:smallCaps w:val="0"/>
          <w:strike w:val="0"/>
          <w:sz w:val="26"/>
          <w:u w:val="none"/>
        </w:rPr>
        <w:t xml:space="preserve"> ’99</w:t>
      </w:r>
      <w:r>
        <w:rPr>
          <w:b w:val="0"/>
          <w:i w:val="0"/>
          <w:smallCaps w:val="0"/>
          <w:strike w:val="0"/>
          <w:u w:val="none"/>
        </w:rPr>
        <w:t xml:space="preserve">, </w:t>
      </w:r>
      <w:r>
        <w:rPr>
          <w:b w:val="0"/>
          <w:i w:val="0"/>
          <w:smallCaps w:val="0"/>
          <w:strike w:val="0"/>
          <w:u w:val="none"/>
        </w:rPr>
        <w:t>Robert A. Lucas Chair of Law and Director of the Center for Intellectual Property Research</w:t>
      </w:r>
      <w:r>
        <w:rPr>
          <w:b w:val="0"/>
          <w:i w:val="0"/>
          <w:smallCaps w:val="0"/>
          <w:strike w:val="0"/>
          <w:u w:val="none"/>
        </w:rPr>
        <w:t xml:space="preserve"> at Indiana University teaching intellectual property law, “Second Tier Patent Protection,” </w:t>
      </w:r>
      <w:r>
        <w:rPr>
          <w:b w:val="0"/>
          <w:i/>
          <w:smallCaps w:val="0"/>
          <w:strike w:val="0"/>
          <w:u w:val="none"/>
        </w:rPr>
        <w:t xml:space="preserve">40 </w:t>
      </w:r>
      <w:r>
        <w:rPr>
          <w:b w:val="0"/>
          <w:i/>
          <w:smallCaps w:val="0"/>
          <w:strike w:val="0"/>
          <w:u w:val="none"/>
        </w:rPr>
        <w:t>Harvard International Law Journal 151</w:t>
      </w:r>
      <w:r>
        <w:rPr>
          <w:b w:val="0"/>
          <w:i w:val="0"/>
          <w:smallCaps w:val="0"/>
          <w:strike w:val="0"/>
          <w:u w:val="none"/>
        </w:rPr>
        <w:t xml:space="preserve">, </w:t>
      </w:r>
      <w:r>
        <w:rPr>
          <w:b w:val="0"/>
          <w:i w:val="0"/>
          <w:smallCaps w:val="0"/>
          <w:strike w:val="0"/>
          <w:u w:val="none"/>
        </w:rPr>
        <w:t>pgs</w:t>
      </w:r>
      <w:r>
        <w:rPr>
          <w:b w:val="0"/>
          <w:i w:val="0"/>
          <w:smallCaps w:val="0"/>
          <w:strike w:val="0"/>
          <w:u w:val="none"/>
        </w:rPr>
        <w:t xml:space="preserve"> 183-185, 1999, </w:t>
      </w:r>
      <w:r>
        <w:rPr>
          <w:b w:val="0"/>
          <w:i w:val="0"/>
          <w:smallCaps w:val="0"/>
          <w:strike w:val="0"/>
          <w:u w:val="none"/>
        </w:rPr>
        <w:t>, Accessed 7-17-2024 by NT-RS</w:t>
      </w:r>
    </w:p>
    <w:p>
      <w:pPr>
        <w:spacing w:after="60"/>
      </w:pPr>
      <w:r>
        <w:rPr>
          <w:b/>
          <w:i w:val="0"/>
          <w:smallCaps w:val="0"/>
          <w:strike w:val="0"/>
          <w:sz w:val="22"/>
          <w:highlight w:val="cyan"/>
          <w:u w:val="single"/>
        </w:rPr>
        <w:t>Second tier</w:t>
      </w:r>
      <w:r>
        <w:rPr>
          <w:b w:val="0"/>
          <w:i w:val="0"/>
          <w:smallCaps w:val="0"/>
          <w:strike w:val="0"/>
          <w:sz w:val="16"/>
          <w:u w:val="none"/>
        </w:rPr>
        <w:t xml:space="preserve"> patent regimes </w:t>
      </w:r>
      <w:r>
        <w:rPr>
          <w:b/>
          <w:i w:val="0"/>
          <w:smallCaps w:val="0"/>
          <w:strike w:val="0"/>
          <w:sz w:val="22"/>
          <w:highlight w:val="cyan"/>
          <w:u w:val="single"/>
        </w:rPr>
        <w:t xml:space="preserve">generate inherently </w:t>
      </w:r>
      <w:r>
        <w:rPr>
          <w:b/>
          <w:i w:val="0"/>
          <w:smallCaps w:val="0"/>
          <w:strike w:val="0"/>
          <w:sz w:val="22"/>
          <w:highlight w:val="cyan"/>
          <w:u w:val="single"/>
        </w:rPr>
        <w:t>insecure rights</w:t>
      </w:r>
      <w:r>
        <w:rPr>
          <w:b/>
          <w:i w:val="0"/>
          <w:smallCaps w:val="0"/>
          <w:strike w:val="0"/>
          <w:sz w:val="22"/>
          <w:u w:val="single"/>
        </w:rPr>
        <w:t>,</w:t>
      </w:r>
      <w:r>
        <w:rPr>
          <w:b w:val="0"/>
          <w:i w:val="0"/>
          <w:smallCaps w:val="0"/>
          <w:strike w:val="0"/>
          <w:sz w:val="16"/>
          <w:u w:val="none"/>
        </w:rPr>
        <w:t xml:space="preserve"> 178 and </w:t>
      </w:r>
      <w:r>
        <w:rPr>
          <w:b/>
          <w:i w:val="0"/>
          <w:smallCaps w:val="0"/>
          <w:strike w:val="0"/>
          <w:sz w:val="22"/>
          <w:u w:val="single"/>
        </w:rPr>
        <w:t xml:space="preserve">many of the difficulties that would </w:t>
      </w:r>
      <w:r>
        <w:rPr>
          <w:b/>
          <w:i w:val="0"/>
          <w:smallCaps w:val="0"/>
          <w:strike w:val="0"/>
          <w:sz w:val="22"/>
          <w:highlight w:val="cyan"/>
          <w:u w:val="single"/>
        </w:rPr>
        <w:t>plague owners</w:t>
      </w:r>
      <w:r>
        <w:rPr>
          <w:b/>
          <w:i w:val="0"/>
          <w:smallCaps w:val="0"/>
          <w:strike w:val="0"/>
          <w:sz w:val="22"/>
          <w:u w:val="single"/>
        </w:rPr>
        <w:t xml:space="preserve"> </w:t>
      </w:r>
      <w:r>
        <w:rPr>
          <w:b w:val="0"/>
          <w:i w:val="0"/>
          <w:smallCaps w:val="0"/>
          <w:strike w:val="0"/>
          <w:sz w:val="16"/>
          <w:u w:val="none"/>
        </w:rPr>
        <w:t xml:space="preserve">of second tier [footnotes omitted] patents in </w:t>
      </w:r>
      <w:r>
        <w:rPr>
          <w:b/>
          <w:i w:val="0"/>
          <w:smallCaps w:val="0"/>
          <w:strike w:val="0"/>
          <w:sz w:val="22"/>
          <w:highlight w:val="cyan"/>
          <w:u w:val="single"/>
        </w:rPr>
        <w:t>attempting to enforce</w:t>
      </w:r>
      <w:r>
        <w:rPr>
          <w:b/>
          <w:i w:val="0"/>
          <w:smallCaps w:val="0"/>
          <w:strike w:val="0"/>
          <w:sz w:val="22"/>
          <w:u w:val="single"/>
        </w:rPr>
        <w:t xml:space="preserve"> their </w:t>
      </w:r>
      <w:r>
        <w:rPr>
          <w:b/>
          <w:i w:val="0"/>
          <w:smallCaps w:val="0"/>
          <w:strike w:val="0"/>
          <w:sz w:val="22"/>
          <w:highlight w:val="cyan"/>
          <w:u w:val="single"/>
        </w:rPr>
        <w:t>rights</w:t>
      </w:r>
      <w:r>
        <w:rPr>
          <w:b w:val="0"/>
          <w:i w:val="0"/>
          <w:smallCaps w:val="0"/>
          <w:strike w:val="0"/>
          <w:sz w:val="16"/>
          <w:u w:val="none"/>
        </w:rPr>
        <w:t xml:space="preserve"> </w:t>
      </w:r>
      <w:r>
        <w:rPr>
          <w:b/>
          <w:i w:val="0"/>
          <w:smallCaps w:val="0"/>
          <w:strike w:val="0"/>
          <w:sz w:val="22"/>
          <w:u w:val="single"/>
        </w:rPr>
        <w:t xml:space="preserve">can be </w:t>
      </w:r>
      <w:r>
        <w:rPr>
          <w:b/>
          <w:i w:val="0"/>
          <w:smallCaps w:val="0"/>
          <w:strike w:val="0"/>
          <w:sz w:val="22"/>
          <w:highlight w:val="cyan"/>
          <w:u w:val="single"/>
        </w:rPr>
        <w:t xml:space="preserve">attributed to the </w:t>
      </w:r>
      <w:r>
        <w:rPr>
          <w:b/>
          <w:i w:val="0"/>
          <w:smallCaps w:val="0"/>
          <w:strike w:val="0"/>
          <w:sz w:val="22"/>
          <w:highlight w:val="cyan"/>
          <w:u w:val="single"/>
        </w:rPr>
        <w:t>inherent uncertainties</w:t>
      </w:r>
      <w:r>
        <w:rPr>
          <w:b w:val="0"/>
          <w:i w:val="0"/>
          <w:smallCaps w:val="0"/>
          <w:strike w:val="0"/>
          <w:sz w:val="16"/>
          <w:u w:val="none"/>
        </w:rPr>
        <w:t xml:space="preserve"> of second tier protection. 79 There are </w:t>
      </w:r>
      <w:r>
        <w:rPr>
          <w:b/>
          <w:i w:val="0"/>
          <w:smallCaps w:val="0"/>
          <w:strike w:val="0"/>
          <w:sz w:val="22"/>
          <w:highlight w:val="cyan"/>
          <w:u w:val="single"/>
        </w:rPr>
        <w:t>legislative fixes</w:t>
      </w:r>
      <w:r>
        <w:rPr>
          <w:b/>
          <w:i w:val="0"/>
          <w:smallCaps w:val="0"/>
          <w:strike w:val="0"/>
          <w:sz w:val="22"/>
          <w:u w:val="single"/>
        </w:rPr>
        <w:t>,</w:t>
      </w:r>
      <w:r>
        <w:rPr>
          <w:b w:val="0"/>
          <w:i w:val="0"/>
          <w:smallCaps w:val="0"/>
          <w:strike w:val="0"/>
          <w:sz w:val="16"/>
          <w:u w:val="none"/>
        </w:rPr>
        <w:t xml:space="preserve"> but they </w:t>
      </w:r>
      <w:r>
        <w:rPr>
          <w:b/>
          <w:i w:val="0"/>
          <w:smallCaps w:val="0"/>
          <w:strike w:val="0"/>
          <w:sz w:val="22"/>
          <w:highlight w:val="cyan"/>
          <w:u w:val="single"/>
        </w:rPr>
        <w:t>run squarely</w:t>
      </w:r>
      <w:r>
        <w:rPr>
          <w:b/>
          <w:i w:val="0"/>
          <w:smallCaps w:val="0"/>
          <w:strike w:val="0"/>
          <w:sz w:val="22"/>
          <w:u w:val="single"/>
        </w:rPr>
        <w:t xml:space="preserve"> </w:t>
      </w:r>
      <w:r>
        <w:rPr>
          <w:b/>
          <w:i w:val="0"/>
          <w:smallCaps w:val="0"/>
          <w:strike w:val="0"/>
          <w:sz w:val="22"/>
          <w:highlight w:val="cyan"/>
          <w:u w:val="single"/>
        </w:rPr>
        <w:t>contrary to the goal of enhancing access for SMEs</w:t>
      </w:r>
      <w:r>
        <w:rPr>
          <w:b/>
          <w:i w:val="0"/>
          <w:smallCaps w:val="0"/>
          <w:strike w:val="0"/>
          <w:sz w:val="22"/>
          <w:u w:val="single"/>
        </w:rPr>
        <w:t xml:space="preserve"> </w:t>
      </w:r>
      <w:r>
        <w:rPr>
          <w:b w:val="0"/>
          <w:i w:val="0"/>
          <w:smallCaps w:val="0"/>
          <w:strike w:val="0"/>
          <w:sz w:val="16"/>
          <w:u w:val="none"/>
        </w:rPr>
        <w:t xml:space="preserve">that have limited litigation budgets. For example, the proposed Australian Innovation Patent System would require the owner of an innovation patent to request substantive examination from the Australian patent office, and await its completion, prior to initiating or even threatening an infringement action. 180 This requirement places [footnotes omitted] the </w:t>
      </w:r>
      <w:r>
        <w:rPr>
          <w:b w:val="0"/>
          <w:i w:val="0"/>
          <w:smallCaps w:val="0"/>
          <w:strike w:val="0"/>
          <w:sz w:val="16"/>
          <w:u w:val="none"/>
        </w:rPr>
        <w:t>second tier</w:t>
      </w:r>
      <w:r>
        <w:rPr>
          <w:b w:val="0"/>
          <w:i w:val="0"/>
          <w:smallCaps w:val="0"/>
          <w:strike w:val="0"/>
          <w:sz w:val="16"/>
          <w:u w:val="none"/>
        </w:rPr>
        <w:t xml:space="preserve"> patent owner in a worse position than a regular patent owner in seeking a rapid judicial intervention.'" Likewise, </w:t>
      </w:r>
      <w:r>
        <w:rPr>
          <w:b/>
          <w:i w:val="0"/>
          <w:smallCaps w:val="0"/>
          <w:strike w:val="0"/>
          <w:sz w:val="22"/>
          <w:u w:val="single"/>
        </w:rPr>
        <w:t>second tier proposals envision subjecting second tier patents to administrative revocation</w:t>
      </w:r>
      <w:r>
        <w:rPr>
          <w:b w:val="0"/>
          <w:i w:val="0"/>
          <w:smallCaps w:val="0"/>
          <w:strike w:val="0"/>
          <w:sz w:val="16"/>
          <w:u w:val="none"/>
        </w:rPr>
        <w:t xml:space="preserve">.' 8 2 </w:t>
      </w:r>
      <w:r>
        <w:rPr>
          <w:b/>
          <w:i w:val="0"/>
          <w:smallCaps w:val="0"/>
          <w:strike w:val="0"/>
          <w:sz w:val="22"/>
          <w:u w:val="single"/>
        </w:rPr>
        <w:t>Bec</w:t>
      </w:r>
      <w:r>
        <w:rPr>
          <w:b/>
          <w:i w:val="0"/>
          <w:smallCaps w:val="0"/>
          <w:strike w:val="0"/>
          <w:sz w:val="22"/>
          <w:highlight w:val="cyan"/>
          <w:u w:val="single"/>
        </w:rPr>
        <w:t>ause third parties can participate fully</w:t>
      </w:r>
      <w:r>
        <w:rPr>
          <w:b/>
          <w:i w:val="0"/>
          <w:smallCaps w:val="0"/>
          <w:strike w:val="0"/>
          <w:sz w:val="22"/>
          <w:u w:val="single"/>
        </w:rPr>
        <w:t xml:space="preserve"> </w:t>
      </w:r>
      <w:r>
        <w:rPr>
          <w:b w:val="0"/>
          <w:i w:val="0"/>
          <w:smallCaps w:val="0"/>
          <w:strike w:val="0"/>
          <w:sz w:val="16"/>
          <w:u w:val="none"/>
        </w:rPr>
        <w:t xml:space="preserve">in such proceedings, </w:t>
      </w:r>
      <w:r>
        <w:rPr>
          <w:b/>
          <w:i w:val="0"/>
          <w:smallCaps w:val="0"/>
          <w:strike w:val="0"/>
          <w:sz w:val="22"/>
          <w:u w:val="single"/>
        </w:rPr>
        <w:t xml:space="preserve">they are generally </w:t>
      </w:r>
      <w:r>
        <w:rPr>
          <w:b/>
          <w:i w:val="0"/>
          <w:smallCaps w:val="0"/>
          <w:strike w:val="0"/>
          <w:sz w:val="22"/>
          <w:highlight w:val="cyan"/>
          <w:u w:val="single"/>
        </w:rPr>
        <w:t>much more</w:t>
      </w:r>
      <w:r>
        <w:rPr>
          <w:b w:val="0"/>
          <w:i w:val="0"/>
          <w:smallCaps w:val="0"/>
          <w:strike w:val="0"/>
          <w:sz w:val="16"/>
          <w:highlight w:val="cyan"/>
          <w:u w:val="none"/>
        </w:rPr>
        <w:t xml:space="preserve"> </w:t>
      </w:r>
      <w:r>
        <w:rPr>
          <w:b/>
          <w:i w:val="0"/>
          <w:smallCaps w:val="0"/>
          <w:strike w:val="0"/>
          <w:sz w:val="22"/>
          <w:highlight w:val="cyan"/>
          <w:u w:val="single"/>
        </w:rPr>
        <w:t>costly and complex</w:t>
      </w:r>
      <w:r>
        <w:rPr>
          <w:b w:val="0"/>
          <w:i w:val="0"/>
          <w:smallCaps w:val="0"/>
          <w:strike w:val="0"/>
          <w:sz w:val="16"/>
          <w:u w:val="none"/>
        </w:rPr>
        <w:t xml:space="preserve"> </w:t>
      </w:r>
      <w:r>
        <w:rPr>
          <w:b/>
          <w:i w:val="0"/>
          <w:smallCaps w:val="0"/>
          <w:strike w:val="0"/>
          <w:sz w:val="22"/>
          <w:u w:val="single"/>
        </w:rPr>
        <w:t xml:space="preserve">than ex </w:t>
      </w:r>
      <w:r>
        <w:rPr>
          <w:b/>
          <w:i w:val="0"/>
          <w:smallCaps w:val="0"/>
          <w:strike w:val="0"/>
          <w:sz w:val="22"/>
          <w:u w:val="single"/>
        </w:rPr>
        <w:t>parte</w:t>
      </w:r>
      <w:r>
        <w:rPr>
          <w:b/>
          <w:i w:val="0"/>
          <w:smallCaps w:val="0"/>
          <w:strike w:val="0"/>
          <w:sz w:val="22"/>
          <w:u w:val="single"/>
        </w:rPr>
        <w:t xml:space="preserve"> examination</w:t>
      </w:r>
      <w:r>
        <w:rPr>
          <w:b w:val="0"/>
          <w:i w:val="0"/>
          <w:smallCaps w:val="0"/>
          <w:strike w:val="0"/>
          <w:sz w:val="16"/>
          <w:u w:val="none"/>
        </w:rPr>
        <w:t xml:space="preserve">, again </w:t>
      </w:r>
      <w:r>
        <w:rPr>
          <w:b/>
          <w:i w:val="0"/>
          <w:smallCaps w:val="0"/>
          <w:strike w:val="0"/>
          <w:sz w:val="22"/>
          <w:u w:val="single"/>
        </w:rPr>
        <w:t xml:space="preserve">suggesting that the </w:t>
      </w:r>
      <w:r>
        <w:rPr>
          <w:b/>
          <w:i w:val="0"/>
          <w:smallCaps w:val="0"/>
          <w:strike w:val="0"/>
          <w:sz w:val="22"/>
          <w:u w:val="single"/>
        </w:rPr>
        <w:t>second tier</w:t>
      </w:r>
      <w:r>
        <w:rPr>
          <w:b/>
          <w:i w:val="0"/>
          <w:smallCaps w:val="0"/>
          <w:strike w:val="0"/>
          <w:sz w:val="22"/>
          <w:u w:val="single"/>
        </w:rPr>
        <w:t xml:space="preserve"> patent owner is </w:t>
      </w:r>
      <w:r>
        <w:rPr>
          <w:b w:val="0"/>
          <w:i w:val="0"/>
          <w:smallCaps w:val="0"/>
          <w:strike w:val="0"/>
          <w:sz w:val="16"/>
          <w:u w:val="none"/>
        </w:rPr>
        <w:t xml:space="preserve">actually </w:t>
      </w:r>
      <w:r>
        <w:rPr>
          <w:b/>
          <w:i w:val="0"/>
          <w:smallCaps w:val="0"/>
          <w:strike w:val="0"/>
          <w:sz w:val="22"/>
          <w:u w:val="single"/>
        </w:rPr>
        <w:t>in a worse position</w:t>
      </w:r>
      <w:r>
        <w:rPr>
          <w:b w:val="0"/>
          <w:i w:val="0"/>
          <w:smallCaps w:val="0"/>
          <w:strike w:val="0"/>
          <w:sz w:val="16"/>
          <w:u w:val="none"/>
        </w:rPr>
        <w:t xml:space="preserve"> than the corresponding applicant for a regular patent. 1 83</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