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Secondary innovation is way too costly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Mark D. </w:t>
      </w:r>
      <w:r>
        <w:rPr>
          <w:b/>
          <w:i w:val="0"/>
          <w:smallCaps w:val="0"/>
          <w:strike w:val="0"/>
          <w:sz w:val="26"/>
          <w:u w:val="none"/>
        </w:rPr>
        <w:t>Janis</w:t>
      </w:r>
      <w:r>
        <w:rPr>
          <w:b/>
          <w:i w:val="0"/>
          <w:smallCaps w:val="0"/>
          <w:strike w:val="0"/>
          <w:sz w:val="26"/>
          <w:u w:val="none"/>
        </w:rPr>
        <w:t xml:space="preserve"> ’99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Robert A. Lucas Chair of Law and Director of the Center for Intellectual Property Research</w:t>
      </w:r>
      <w:r>
        <w:rPr>
          <w:b w:val="0"/>
          <w:i w:val="0"/>
          <w:smallCaps w:val="0"/>
          <w:strike w:val="0"/>
          <w:u w:val="none"/>
        </w:rPr>
        <w:t xml:space="preserve"> at Indiana University teaching intellectual property law, “Second Tier Patent Protection,” </w:t>
      </w:r>
      <w:r>
        <w:rPr>
          <w:b w:val="0"/>
          <w:i/>
          <w:smallCaps w:val="0"/>
          <w:strike w:val="0"/>
          <w:u w:val="none"/>
        </w:rPr>
        <w:t xml:space="preserve">40 </w:t>
      </w:r>
      <w:r>
        <w:rPr>
          <w:b w:val="0"/>
          <w:i/>
          <w:smallCaps w:val="0"/>
          <w:strike w:val="0"/>
          <w:u w:val="none"/>
        </w:rPr>
        <w:t>Harvard International Law Journal 151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186, 1999, </w:t>
      </w:r>
      <w:r>
        <w:rPr>
          <w:b w:val="0"/>
          <w:i w:val="0"/>
          <w:smallCaps w:val="0"/>
          <w:strike w:val="0"/>
          <w:u w:val="none"/>
        </w:rPr>
        <w:t>, Accessed 7-17-2024 by NT-RS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/>
          <w:i w:val="0"/>
          <w:smallCaps w:val="0"/>
          <w:strike w:val="0"/>
          <w:sz w:val="22"/>
          <w:u w:val="single"/>
        </w:rPr>
        <w:t xml:space="preserve"> a regular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/>
          <w:i w:val="0"/>
          <w:smallCaps w:val="0"/>
          <w:strike w:val="0"/>
          <w:sz w:val="22"/>
          <w:u w:val="single"/>
        </w:rPr>
        <w:t xml:space="preserve"> system,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all users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partially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subsidize the cost of clearance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paying fees to the examining agency and receiving a substantive examination prior to the grant of patent protection. </w:t>
      </w:r>
      <w:r>
        <w:rPr>
          <w:b/>
          <w:i w:val="0"/>
          <w:smallCaps w:val="0"/>
          <w:strike w:val="0"/>
          <w:sz w:val="22"/>
          <w:u w:val="single"/>
        </w:rPr>
        <w:t>By contrast</w:t>
      </w:r>
      <w:r>
        <w:rPr>
          <w:b w:val="0"/>
          <w:i w:val="0"/>
          <w:smallCaps w:val="0"/>
          <w:strike w:val="0"/>
          <w:sz w:val="16"/>
          <w:u w:val="none"/>
        </w:rPr>
        <w:t>,</w:t>
      </w:r>
      <w:r>
        <w:rPr>
          <w:b/>
          <w:i w:val="0"/>
          <w:smallCaps w:val="0"/>
          <w:strike w:val="0"/>
          <w:sz w:val="22"/>
          <w:u w:val="single"/>
        </w:rPr>
        <w:t xml:space="preserve">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second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tier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patent regime without pre-grant substantive examination,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responsibility</w:t>
      </w:r>
      <w:r>
        <w:rPr>
          <w:b/>
          <w:i w:val="0"/>
          <w:smallCaps w:val="0"/>
          <w:strike w:val="0"/>
          <w:sz w:val="22"/>
          <w:u w:val="single"/>
        </w:rPr>
        <w:t xml:space="preserve"> for applying the substantive standards of patentability is shifted to the judiciary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the costs are correspondingly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borne by the litigants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practical terms,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result is</w:t>
      </w:r>
      <w:r>
        <w:rPr>
          <w:b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private actors</w:t>
      </w:r>
      <w:r>
        <w:rPr>
          <w:b/>
          <w:i w:val="0"/>
          <w:smallCaps w:val="0"/>
          <w:strike w:val="0"/>
          <w:sz w:val="22"/>
          <w:u w:val="single"/>
        </w:rPr>
        <w:t xml:space="preserve"> will more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frequently face the need to procure clearance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opinions </w:t>
      </w:r>
      <w:r>
        <w:rPr>
          <w:b/>
          <w:i w:val="0"/>
          <w:smallCaps w:val="0"/>
          <w:strike w:val="0"/>
          <w:sz w:val="22"/>
          <w:u w:val="single"/>
        </w:rPr>
        <w:t>to ensure that their proposed activities do not infringe valid second tier patent rights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Those </w:t>
      </w:r>
      <w:r>
        <w:rPr>
          <w:b/>
          <w:i w:val="0"/>
          <w:smallCaps w:val="0"/>
          <w:strike w:val="0"/>
          <w:sz w:val="22"/>
          <w:u w:val="single"/>
        </w:rPr>
        <w:t xml:space="preserve">clearance opinions will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unquestionably be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highly complex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given the elusive nature of the relaxed inventive step standard. This could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translate to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greatly increased costs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f doing business for all enterprises </w:t>
      </w:r>
      <w:r>
        <w:rPr>
          <w:b/>
          <w:i w:val="0"/>
          <w:smallCaps w:val="0"/>
          <w:strike w:val="0"/>
          <w:sz w:val="22"/>
          <w:u w:val="single"/>
        </w:rPr>
        <w:t>in a given</w:t>
      </w:r>
      <w:r>
        <w:rPr>
          <w:b/>
          <w:i w:val="0"/>
          <w:smallCaps w:val="0"/>
          <w:strike w:val="0"/>
          <w:sz w:val="22"/>
          <w:u w:val="single"/>
        </w:rPr>
        <w:t xml:space="preserve"> area of technology</w:t>
      </w:r>
      <w:r>
        <w:rPr>
          <w:b w:val="0"/>
          <w:i w:val="0"/>
          <w:smallCaps w:val="0"/>
          <w:strike w:val="0"/>
          <w:sz w:val="16"/>
          <w:u w:val="none"/>
        </w:rPr>
        <w:t>, and SMEs are presumably least well-positioned to handle such costs.186 Another possibility is that private actors will routinely find it necessary to initiate administrative revocation proceedings. Experience with post-grant opposition in Europe may indicate that the costs of such procedures will be significant.18 7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