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Trade secrets and TRIPs solve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Mark D. </w:t>
      </w:r>
      <w:r>
        <w:rPr>
          <w:b/>
          <w:i w:val="0"/>
          <w:smallCaps w:val="0"/>
          <w:strike w:val="0"/>
          <w:sz w:val="26"/>
          <w:u w:val="none"/>
        </w:rPr>
        <w:t>Janis</w:t>
      </w:r>
      <w:r>
        <w:rPr>
          <w:b/>
          <w:i w:val="0"/>
          <w:smallCaps w:val="0"/>
          <w:strike w:val="0"/>
          <w:sz w:val="26"/>
          <w:u w:val="none"/>
        </w:rPr>
        <w:t xml:space="preserve"> ’99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Robert A. Lucas Chair of Law and Director of the Center for Intellectual Property Research</w:t>
      </w:r>
      <w:r>
        <w:rPr>
          <w:b w:val="0"/>
          <w:i w:val="0"/>
          <w:smallCaps w:val="0"/>
          <w:strike w:val="0"/>
          <w:u w:val="none"/>
        </w:rPr>
        <w:t xml:space="preserve"> at Indiana University teaching intellectual property law, “Second Tier Patent Protection,” </w:t>
      </w:r>
      <w:r>
        <w:rPr>
          <w:b w:val="0"/>
          <w:i/>
          <w:smallCaps w:val="0"/>
          <w:strike w:val="0"/>
          <w:u w:val="none"/>
        </w:rPr>
        <w:t xml:space="preserve">40 </w:t>
      </w:r>
      <w:r>
        <w:rPr>
          <w:b w:val="0"/>
          <w:i/>
          <w:smallCaps w:val="0"/>
          <w:strike w:val="0"/>
          <w:u w:val="none"/>
        </w:rPr>
        <w:t>Harvard International Law Journal 151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pgs</w:t>
      </w:r>
      <w:r>
        <w:rPr>
          <w:b w:val="0"/>
          <w:i w:val="0"/>
          <w:smallCaps w:val="0"/>
          <w:strike w:val="0"/>
          <w:u w:val="none"/>
        </w:rPr>
        <w:t xml:space="preserve"> 216, 1999, </w:t>
      </w:r>
      <w:r>
        <w:rPr>
          <w:b w:val="0"/>
          <w:i w:val="0"/>
          <w:smallCaps w:val="0"/>
          <w:strike w:val="0"/>
          <w:u w:val="none"/>
        </w:rPr>
        <w:t>, Accessed 7-17-2024 by NT-RS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Second tier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patent regimes </w:t>
      </w:r>
      <w:r>
        <w:rPr>
          <w:b/>
          <w:i w:val="0"/>
          <w:smallCaps w:val="0"/>
          <w:strike w:val="0"/>
          <w:sz w:val="22"/>
          <w:u w:val="single"/>
        </w:rPr>
        <w:t xml:space="preserve">unquestionably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devote</w:t>
      </w:r>
      <w:r>
        <w:rPr>
          <w:b/>
          <w:i w:val="0"/>
          <w:smallCaps w:val="0"/>
          <w:strike w:val="0"/>
          <w:sz w:val="22"/>
          <w:u w:val="single"/>
        </w:rPr>
        <w:t xml:space="preserve"> themselves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protection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subpatentable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innovation that falls into the gap between patent and copyright protection. But </w:t>
      </w:r>
      <w:r>
        <w:rPr>
          <w:b/>
          <w:i w:val="0"/>
          <w:smallCaps w:val="0"/>
          <w:strike w:val="0"/>
          <w:sz w:val="22"/>
          <w:u w:val="single"/>
        </w:rPr>
        <w:t xml:space="preserve">it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not the case</w:t>
      </w:r>
      <w:r>
        <w:rPr>
          <w:b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 the absence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second tier regimes,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all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subpatentable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innovation goes unprotected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In the 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tates, </w:t>
      </w:r>
      <w:r>
        <w:rPr>
          <w:b/>
          <w:i w:val="0"/>
          <w:smallCaps w:val="0"/>
          <w:strike w:val="0"/>
          <w:sz w:val="22"/>
          <w:u w:val="single"/>
        </w:rPr>
        <w:t xml:space="preserve">state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trade secret law</w:t>
      </w:r>
      <w:r>
        <w:rPr>
          <w:b/>
          <w:i w:val="0"/>
          <w:smallCaps w:val="0"/>
          <w:strike w:val="0"/>
          <w:sz w:val="22"/>
          <w:u w:val="single"/>
        </w:rPr>
        <w:t xml:space="preserve"> can be used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protect that range of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innovation that meets minimum requirements of confidentiality and value. The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TRIPs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[footnote omitted] agreement </w:t>
      </w:r>
      <w:r>
        <w:rPr>
          <w:b/>
          <w:i w:val="0"/>
          <w:smallCaps w:val="0"/>
          <w:strike w:val="0"/>
          <w:sz w:val="22"/>
          <w:u w:val="single"/>
        </w:rPr>
        <w:t>imposes similar standards worldwide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.3°4 Fundamentally, then, the United States has chosen to protect a limited range of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innovations through a mixed property/liability regime 30 5 built around a well-established concept of trade secret misappropriation,30 6 leaving the remainder of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innovations to the public domain.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