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Phonorecords and pharma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Jerome H. </w:t>
      </w:r>
      <w:r>
        <w:rPr>
          <w:b/>
          <w:i w:val="0"/>
          <w:smallCaps w:val="0"/>
          <w:strike w:val="0"/>
          <w:sz w:val="26"/>
          <w:u w:val="none"/>
        </w:rPr>
        <w:t>Reichman and</w:t>
      </w:r>
      <w:r>
        <w:rPr>
          <w:b w:val="0"/>
          <w:i w:val="0"/>
          <w:smallCaps w:val="0"/>
          <w:strike w:val="0"/>
          <w:u w:val="none"/>
        </w:rPr>
        <w:t xml:space="preserve"> Ana Santos </w:t>
      </w:r>
      <w:r>
        <w:rPr>
          <w:b/>
          <w:i w:val="0"/>
          <w:smallCaps w:val="0"/>
          <w:strike w:val="0"/>
          <w:sz w:val="26"/>
          <w:u w:val="none"/>
        </w:rPr>
        <w:t>Rutschman ’24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Bunyan S. Womble Professor of Law at Duke Law School</w:t>
      </w:r>
      <w:r>
        <w:rPr>
          <w:b w:val="0"/>
          <w:i w:val="0"/>
          <w:smallCaps w:val="0"/>
          <w:strike w:val="0"/>
          <w:u w:val="none"/>
        </w:rPr>
        <w:t xml:space="preserve"> focusing largely on IP law including comparative and international IP law and former s</w:t>
      </w:r>
      <w:r>
        <w:rPr>
          <w:b w:val="0"/>
          <w:i w:val="0"/>
          <w:smallCaps w:val="0"/>
          <w:strike w:val="0"/>
          <w:u w:val="none"/>
        </w:rPr>
        <w:t>pecial advisor to the United States National Academies and the International Council for Science (ICSU) on the subject of legal protection for databases</w:t>
      </w:r>
      <w:r>
        <w:rPr>
          <w:b w:val="0"/>
          <w:i w:val="0"/>
          <w:smallCaps w:val="0"/>
          <w:strike w:val="0"/>
          <w:u w:val="none"/>
        </w:rPr>
        <w:t xml:space="preserve">, teaches and researches IP law including being </w:t>
      </w:r>
      <w:r>
        <w:rPr>
          <w:b w:val="0"/>
          <w:i w:val="0"/>
          <w:smallCaps w:val="0"/>
          <w:strike w:val="0"/>
          <w:u w:val="none"/>
        </w:rPr>
        <w:t>a</w:t>
      </w:r>
      <w:r>
        <w:rPr>
          <w:b w:val="0"/>
          <w:i w:val="0"/>
          <w:smallCaps w:val="0"/>
          <w:strike w:val="0"/>
          <w:u w:val="none"/>
        </w:rPr>
        <w:t xml:space="preserve"> internationally recognized expert on vaccine law and </w:t>
      </w:r>
      <w:r>
        <w:rPr>
          <w:b w:val="0"/>
          <w:i w:val="0"/>
          <w:smallCaps w:val="0"/>
          <w:strike w:val="0"/>
          <w:u w:val="none"/>
        </w:rPr>
        <w:t>Bio Intellectual Property Scholar in 2017</w:t>
      </w:r>
      <w:r>
        <w:rPr>
          <w:b w:val="0"/>
          <w:i w:val="0"/>
          <w:smallCaps w:val="0"/>
          <w:strike w:val="0"/>
          <w:u w:val="none"/>
        </w:rPr>
        <w:t>, “</w:t>
      </w:r>
      <w:r>
        <w:rPr>
          <w:b w:val="0"/>
          <w:i w:val="0"/>
          <w:smallCaps w:val="0"/>
          <w:strike w:val="0"/>
          <w:u w:val="none"/>
        </w:rPr>
        <w:t xml:space="preserve">A Codified Liability Regime to Stimulate Greater Investment in </w:t>
      </w:r>
      <w:r>
        <w:rPr>
          <w:b w:val="0"/>
          <w:i w:val="0"/>
          <w:smallCaps w:val="0"/>
          <w:strike w:val="0"/>
          <w:u w:val="none"/>
        </w:rPr>
        <w:t>Subpatentable</w:t>
      </w:r>
      <w:r>
        <w:rPr>
          <w:b w:val="0"/>
          <w:i w:val="0"/>
          <w:smallCaps w:val="0"/>
          <w:strike w:val="0"/>
          <w:u w:val="none"/>
        </w:rPr>
        <w:t xml:space="preserve"> Innovation</w:t>
      </w:r>
      <w:r>
        <w:rPr>
          <w:b w:val="0"/>
          <w:i w:val="0"/>
          <w:smallCaps w:val="0"/>
          <w:strike w:val="0"/>
          <w:u w:val="none"/>
        </w:rPr>
        <w:t xml:space="preserve">,” </w:t>
      </w:r>
      <w:r>
        <w:rPr>
          <w:b w:val="0"/>
          <w:i/>
          <w:smallCaps w:val="0"/>
          <w:strike w:val="0"/>
          <w:u w:val="none"/>
        </w:rPr>
        <w:t>UC Davis Law Review</w:t>
      </w:r>
      <w:r>
        <w:rPr>
          <w:b w:val="0"/>
          <w:i w:val="0"/>
          <w:smallCaps w:val="0"/>
          <w:strike w:val="0"/>
          <w:u w:val="none"/>
        </w:rPr>
        <w:t xml:space="preserve">, February 2024, Vol. 57, Pg 2031, </w:t>
      </w:r>
      <w:r>
        <w:rPr>
          <w:b w:val="0"/>
          <w:i w:val="0"/>
          <w:smallCaps w:val="0"/>
          <w:strike w:val="0"/>
          <w:u w:val="none"/>
        </w:rPr>
        <w:t>https://lawreview.law.ucdavis.edu/archives/57/3/codified-liability-regime-stimulate-greater-investment-subpatentable-innovation</w:t>
      </w:r>
      <w:r>
        <w:rPr>
          <w:b w:val="0"/>
          <w:i w:val="0"/>
          <w:smallCaps w:val="0"/>
          <w:strike w:val="0"/>
          <w:u w:val="none"/>
        </w:rPr>
        <w:t>, Accessed 7-11-2024 by NT-RS through LexisNexis</w:t>
      </w:r>
    </w:p>
    <w:p>
      <w:pPr>
        <w:spacing w:after="60"/>
      </w:pPr>
      <w:r>
        <w:rPr>
          <w:b w:val="0"/>
          <w:i w:val="0"/>
          <w:smallCaps w:val="0"/>
          <w:strike w:val="0"/>
          <w:sz w:val="14"/>
          <w:u w:val="none"/>
        </w:rPr>
        <w:t xml:space="preserve">We note that, already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under both international</w:t>
      </w:r>
      <w:r>
        <w:rPr>
          <w:b w:val="0"/>
          <w:i w:val="0"/>
          <w:smallCaps w:val="0"/>
          <w:strike w:val="0"/>
          <w:sz w:val="14"/>
          <w:u w:val="none"/>
        </w:rPr>
        <w:t>15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 domestic</w:t>
      </w:r>
      <w:r>
        <w:rPr>
          <w:b w:val="0"/>
          <w:i w:val="0"/>
          <w:smallCaps w:val="0"/>
          <w:strike w:val="0"/>
          <w:sz w:val="16"/>
          <w:u w:val="none"/>
        </w:rPr>
        <w:t xml:space="preserve">16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an approach that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makes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use of liability rules is available</w:t>
      </w:r>
      <w:r>
        <w:rPr>
          <w:b/>
          <w:i w:val="0"/>
          <w:smallCaps w:val="0"/>
          <w:strike w:val="0"/>
          <w:sz w:val="22"/>
          <w:u w:val="single"/>
        </w:rPr>
        <w:t xml:space="preserve"> in certain circumstances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: this happens in the case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compulsory licenses</w:t>
      </w:r>
      <w:r>
        <w:rPr>
          <w:b w:val="0"/>
          <w:i w:val="0"/>
          <w:smallCaps w:val="0"/>
          <w:strike w:val="0"/>
          <w:sz w:val="14"/>
          <w:u w:val="none"/>
        </w:rPr>
        <w:t xml:space="preserve">, which may be issued in situations of need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pharma</w:t>
      </w:r>
      <w:r>
        <w:rPr>
          <w:b/>
          <w:i w:val="0"/>
          <w:smallCaps w:val="0"/>
          <w:strike w:val="0"/>
          <w:sz w:val="22"/>
          <w:u w:val="single"/>
        </w:rPr>
        <w:t xml:space="preserve">ceuticals and other products </w:t>
      </w:r>
      <w:r>
        <w:rPr>
          <w:b w:val="0"/>
          <w:i w:val="0"/>
          <w:smallCaps w:val="0"/>
          <w:strike w:val="0"/>
          <w:sz w:val="14"/>
          <w:u w:val="none"/>
        </w:rPr>
        <w:t xml:space="preserve">without the consent of the patent holder, and which require the licensee to remunerate the patent holder.17 Liability is also a structuring principle in other areas of intellectual property: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copyright law</w:t>
      </w:r>
      <w:r>
        <w:rPr>
          <w:b/>
          <w:i w:val="0"/>
          <w:smallCaps w:val="0"/>
          <w:strike w:val="0"/>
          <w:sz w:val="22"/>
          <w:u w:val="single"/>
        </w:rPr>
        <w:t>,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for example, has codified a compulsory license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14"/>
          <w:u w:val="none"/>
        </w:rPr>
        <w:t xml:space="preserve"> making and distributing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phonorecords</w:t>
      </w:r>
      <w:r>
        <w:rPr>
          <w:b w:val="0"/>
          <w:i w:val="0"/>
          <w:smallCaps w:val="0"/>
          <w:strike w:val="0"/>
          <w:sz w:val="12"/>
          <w:u w:val="none"/>
        </w:rPr>
        <w:t xml:space="preserve">.18 However, in addition to being limited to certain products, current legal embodiments of liability approaches are only available as a last resort.19 By contrast, the regime proposed in this Article would be based on a codified compulsory license from the outset.20 As further discussed below, this would reduce both uncertainty [*2034] and transaction costs.21 Moreover, and once again unlike existing approaches, our proposal would apply to any products qualifying as </w:t>
      </w:r>
      <w:r>
        <w:rPr>
          <w:b w:val="0"/>
          <w:i w:val="0"/>
          <w:smallCaps w:val="0"/>
          <w:strike w:val="0"/>
          <w:sz w:val="12"/>
          <w:u w:val="none"/>
        </w:rPr>
        <w:t>subpatentable</w:t>
      </w:r>
      <w:r>
        <w:rPr>
          <w:b w:val="0"/>
          <w:i w:val="0"/>
          <w:smallCaps w:val="0"/>
          <w:strike w:val="0"/>
          <w:sz w:val="12"/>
          <w:u w:val="none"/>
        </w:rPr>
        <w:t xml:space="preserve"> innovation, irrespective of the field of technology.22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