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Fugitivity reentrenches colonization by assuming there is an ‘outside’ and end to slavery --  slaveness is anywhere and everywhere for the black</w:t>
      </w:r>
    </w:p>
    <w:p>
      <w:pPr>
        <w:spacing w:after="80"/>
      </w:pPr>
      <w:r>
        <w:rPr>
          <w:b/>
          <w:i w:val="0"/>
          <w:smallCaps w:val="0"/>
          <w:strike w:val="0"/>
          <w:sz w:val="26"/>
          <w:u w:val="none"/>
        </w:rPr>
        <w:t>Sexton, 10</w:t>
      </w:r>
      <w:r>
        <w:rPr>
          <w:b w:val="0"/>
          <w:i w:val="0"/>
          <w:smallCaps w:val="0"/>
          <w:strike w:val="0"/>
          <w:u w:val="none"/>
        </w:rPr>
        <w:t xml:space="preserve"> -- Professor, African American Studies School of Humanities. Ph.D. [‘The Curtain of the Sky’: An Introduction. Critical Sociology, 36(1), 11-24.</w:t>
      </w:r>
      <w:r>
        <w:rPr>
          <w:b w:val="0"/>
          <w:i w:val="0"/>
          <w:smallCaps w:val="0"/>
          <w:strike w:val="0"/>
          <w:u w:val="none"/>
        </w:rPr>
        <w:t>] //cia</w:t>
      </w:r>
    </w:p>
    <w:p>
      <w:pPr>
        <w:spacing w:after="60"/>
      </w:pPr>
      <w:r>
        <w:rPr>
          <w:b w:val="0"/>
          <w:i w:val="0"/>
          <w:smallCaps w:val="0"/>
          <w:strike w:val="0"/>
          <w:u w:val="single"/>
        </w:rPr>
        <w:t xml:space="preserve">To suffer the loss of political sovereignty, the exploitation of labor, the dispossession of land and resources is deplorable; yet, we might say in this light that </w:t>
      </w:r>
      <w:r>
        <w:rPr>
          <w:b w:val="0"/>
          <w:i w:val="0"/>
          <w:smallCaps w:val="0"/>
          <w:strike w:val="0"/>
          <w:highlight w:val="cyan"/>
          <w:u w:val="single"/>
        </w:rPr>
        <w:t>to suffer colonization is unenviable unless one is enslaved. One may not be free, but one is at least not enslaved.</w:t>
      </w:r>
      <w:r>
        <w:rPr>
          <w:b w:val="0"/>
          <w:i w:val="0"/>
          <w:smallCaps w:val="0"/>
          <w:strike w:val="0"/>
          <w:u w:val="none"/>
        </w:rPr>
        <w:t xml:space="preserve"> More simply, </w:t>
      </w:r>
      <w:r>
        <w:rPr>
          <w:b w:val="0"/>
          <w:i w:val="0"/>
          <w:smallCaps w:val="0"/>
          <w:strike w:val="0"/>
          <w:u w:val="single"/>
        </w:rPr>
        <w:t>we might say of the colonized: you may lose your motherland, but you will not ‘lose your mother’</w:t>
      </w:r>
      <w:r>
        <w:rPr>
          <w:b w:val="0"/>
          <w:i w:val="0"/>
          <w:smallCaps w:val="0"/>
          <w:strike w:val="0"/>
          <w:u w:val="none"/>
        </w:rPr>
        <w:t xml:space="preserve"> (Hartman 2007). </w:t>
      </w:r>
      <w:r>
        <w:rPr>
          <w:b w:val="0"/>
          <w:i w:val="0"/>
          <w:smallCaps w:val="0"/>
          <w:strike w:val="0"/>
          <w:u w:val="single"/>
        </w:rPr>
        <w:t xml:space="preserve">The latter condition, </w:t>
      </w:r>
      <w:r>
        <w:rPr>
          <w:b w:val="0"/>
          <w:i w:val="0"/>
          <w:smallCaps w:val="0"/>
          <w:strike w:val="0"/>
          <w:highlight w:val="cyan"/>
          <w:u w:val="single"/>
        </w:rPr>
        <w:t>the ‘social death’ under which kinship is denied entirely by the force of law, is reserved for the ‘natal alienation’ and ‘genealogical isolation’ characterizing slavery.</w:t>
      </w:r>
      <w:r>
        <w:rPr>
          <w:b w:val="0"/>
          <w:i w:val="0"/>
          <w:smallCaps w:val="0"/>
          <w:strike w:val="0"/>
          <w:u w:val="none"/>
        </w:rPr>
        <w:t xml:space="preserve"> Here is Orlando Patterson, from his encyclopedic 1982 Slavery and Social Death:</w:t>
      </w:r>
    </w:p>
    <w:p>
      <w:pPr>
        <w:spacing w:after="60"/>
      </w:pPr>
      <w:r>
        <w:rPr>
          <w:b w:val="0"/>
          <w:i w:val="0"/>
          <w:smallCaps w:val="0"/>
          <w:strike w:val="0"/>
          <w:u w:val="single"/>
        </w:rPr>
        <w:t xml:space="preserve"> I prefer the term </w:t>
      </w:r>
      <w:r>
        <w:rPr>
          <w:b w:val="0"/>
          <w:i w:val="0"/>
          <w:smallCaps w:val="0"/>
          <w:strike w:val="0"/>
          <w:highlight w:val="cyan"/>
          <w:u w:val="single"/>
        </w:rPr>
        <w:t>‘natal alienation’</w:t>
      </w:r>
      <w:r>
        <w:rPr>
          <w:b w:val="0"/>
          <w:i w:val="0"/>
          <w:smallCaps w:val="0"/>
          <w:strike w:val="0"/>
          <w:u w:val="single"/>
        </w:rPr>
        <w:t xml:space="preserve"> because it </w:t>
      </w:r>
      <w:r>
        <w:rPr>
          <w:b w:val="0"/>
          <w:i w:val="0"/>
          <w:smallCaps w:val="0"/>
          <w:strike w:val="0"/>
          <w:highlight w:val="cyan"/>
          <w:u w:val="single"/>
        </w:rPr>
        <w:t>goes directly to the heart of what is critical in the slave’s forced alienation, the loss of ties of birth in both ascending and descending generations.</w:t>
      </w:r>
      <w:r>
        <w:rPr>
          <w:b w:val="0"/>
          <w:i w:val="0"/>
          <w:smallCaps w:val="0"/>
          <w:strike w:val="0"/>
          <w:u w:val="single"/>
        </w:rPr>
        <w:t xml:space="preserve"> It also has the important nuance of a loss of native status, of deracination. </w:t>
      </w:r>
      <w:r>
        <w:rPr>
          <w:b w:val="0"/>
          <w:i w:val="0"/>
          <w:smallCaps w:val="0"/>
          <w:strike w:val="0"/>
          <w:u w:val="none"/>
        </w:rPr>
        <w:t>It was this alienation of the slave from all formal, legally enforceable ties of ‘blood,’ and from any attachment to groups or localities other than those chosen for him [sic] by the master, that gave the relation of slavery its peculiar value to the master. The slave was the ultimate human tool, as imprintable and as disposable as the master wished. And this was true, at least in theory, of all slaves, no matter how elevated. (Patterson 1982: 7–8)</w:t>
      </w:r>
    </w:p>
    <w:p>
      <w:pPr>
        <w:spacing w:after="60"/>
      </w:pPr>
      <w:r>
        <w:rPr>
          <w:b w:val="0"/>
          <w:i w:val="0"/>
          <w:smallCaps w:val="0"/>
          <w:strike w:val="0"/>
          <w:u w:val="none"/>
        </w:rPr>
        <w:t xml:space="preserve">True even if elevated by the income and formal education of the mythic American middle class, the celebrity of a Hollywood icon, or the political position of the so-called Leader of the Free World. 4 </w:t>
      </w:r>
      <w:r>
        <w:rPr>
          <w:b w:val="0"/>
          <w:i w:val="0"/>
          <w:smallCaps w:val="0"/>
          <w:strike w:val="0"/>
          <w:u w:val="single"/>
        </w:rPr>
        <w:t xml:space="preserve">The alienation and isolation of the slave is not only vertical, canceling ties to past and future generations and rendering thereby the notion of ‘descendants of slaves’ as a strict oxymoron. </w:t>
      </w:r>
      <w:r>
        <w:rPr>
          <w:b w:val="0"/>
          <w:i w:val="0"/>
          <w:smallCaps w:val="0"/>
          <w:strike w:val="0"/>
          <w:highlight w:val="cyan"/>
          <w:u w:val="single"/>
        </w:rPr>
        <w:t xml:space="preserve">It is </w:t>
      </w:r>
      <w:r>
        <w:rPr>
          <w:b w:val="0"/>
          <w:i w:val="0"/>
          <w:smallCaps w:val="0"/>
          <w:strike w:val="0"/>
          <w:u w:val="single"/>
        </w:rPr>
        <w:t xml:space="preserve">also </w:t>
      </w:r>
      <w:r>
        <w:rPr>
          <w:b w:val="0"/>
          <w:i w:val="0"/>
          <w:smallCaps w:val="0"/>
          <w:strike w:val="0"/>
          <w:highlight w:val="cyan"/>
          <w:u w:val="single"/>
        </w:rPr>
        <w:t>a horizontal prohibition, canceling ties to the slave’s contemporaries as well</w:t>
      </w:r>
      <w:r>
        <w:rPr>
          <w:b w:val="0"/>
          <w:i w:val="0"/>
          <w:smallCaps w:val="0"/>
          <w:strike w:val="0"/>
          <w:u w:val="single"/>
        </w:rPr>
        <w:t>.</w:t>
      </w:r>
      <w:r>
        <w:rPr>
          <w:b w:val="0"/>
          <w:i w:val="0"/>
          <w:smallCaps w:val="0"/>
          <w:strike w:val="0"/>
          <w:u w:val="none"/>
        </w:rPr>
        <w:t xml:space="preserve"> Reduced to a tool, the deracination of the slave, as Mannoni and Fanon each note in their turn, is total, more fundamental even than the displacement of the colonized, whose status obtains in a network of persecuted human relations rather than in a collection or dispersal of a class of things. Crucially, this total deracination is strictly correlative to the ‘absolute submission mandated by [slave] law’ discussed rigorously in Saidiya Hartman’s 1997 Scenes of Subjection: the slave estate is the most perfect example of the space of purely formal obedience defining the jurisdictional field of sovereignty (Agamben 2000). Because the forced submission of the slave is absolute, any signs whatsoever of ‘reasoning … intent and rationality’ are recognized ‘solely in the context of criminal liability’. That is, ‘the slave’s will [is] acknowledged only as it [is] prohibited or punished’ (Hartman 1997: 82, emphasis added). </w:t>
      </w:r>
      <w:r>
        <w:rPr>
          <w:b w:val="0"/>
          <w:i w:val="0"/>
          <w:smallCaps w:val="0"/>
          <w:strike w:val="0"/>
          <w:u w:val="single"/>
        </w:rPr>
        <w:t>A criminal will, a criminal reasoning, a criminal intent, a criminal rationality: with these erstwhile human capacities construed as indices of culpability before the law, even the potentiality of slave resistance is rendered illegitimate and illegible a priori.</w:t>
      </w:r>
    </w:p>
    <w:p>
      <w:pPr>
        <w:spacing w:after="60"/>
      </w:pPr>
      <w:r>
        <w:rPr>
          <w:b w:val="0"/>
          <w:i w:val="0"/>
          <w:smallCaps w:val="0"/>
          <w:strike w:val="0"/>
          <w:u w:val="none"/>
        </w:rPr>
        <w:t xml:space="preserve">The disqualification of black resistance by the logic of racial slavery is not unrelated to the longstanding cross-racial phenomenon in which the white bourgeois and proletarian revolutions on both sides of the Atlantic can allegorize themselves as revolts against slavery, while the hemispheric black struggle against actually existing slavery cannot authorize itself literally in those same terms. The latter must code itself as the apotheosis of the French and American revolutions (with their themes of Judeo-Christian deliverance) or, later, the Russian and Chinese revolutions (with their themes of secular messianic transformation) or, later still, the broad anti-colonial movements in Africa, Asia, and Latin America of the mid-20th century (with their themes of indigenous reclamation and renaissance). 5 </w:t>
      </w:r>
      <w:r>
        <w:rPr>
          <w:b w:val="0"/>
          <w:i w:val="0"/>
          <w:smallCaps w:val="0"/>
          <w:strike w:val="0"/>
          <w:u w:val="single"/>
        </w:rPr>
        <w:t xml:space="preserve">One of the defining features of </w:t>
      </w:r>
      <w:r>
        <w:rPr>
          <w:b w:val="0"/>
          <w:i w:val="0"/>
          <w:smallCaps w:val="0"/>
          <w:strike w:val="0"/>
          <w:highlight w:val="cyan"/>
          <w:u w:val="single"/>
        </w:rPr>
        <w:t>contemporary</w:t>
      </w:r>
      <w:r>
        <w:rPr>
          <w:b w:val="0"/>
          <w:i w:val="0"/>
          <w:smallCaps w:val="0"/>
          <w:strike w:val="0"/>
          <w:u w:val="single"/>
        </w:rPr>
        <w:t xml:space="preserve"> political and </w:t>
      </w:r>
      <w:r>
        <w:rPr>
          <w:b w:val="0"/>
          <w:i w:val="0"/>
          <w:smallCaps w:val="0"/>
          <w:strike w:val="0"/>
          <w:highlight w:val="cyan"/>
          <w:u w:val="single"/>
        </w:rPr>
        <w:t>intellectual culture</w:t>
      </w:r>
      <w:r>
        <w:rPr>
          <w:b w:val="0"/>
          <w:i w:val="0"/>
          <w:smallCaps w:val="0"/>
          <w:strike w:val="0"/>
          <w:u w:val="single"/>
        </w:rPr>
        <w:t xml:space="preserve"> remains this metaphoric transfer that </w:t>
      </w:r>
      <w:r>
        <w:rPr>
          <w:b w:val="0"/>
          <w:i w:val="0"/>
          <w:smallCaps w:val="0"/>
          <w:strike w:val="0"/>
          <w:highlight w:val="cyan"/>
          <w:u w:val="single"/>
        </w:rPr>
        <w:t>appropriates black suffering as the template for non-black grievances, while it misrecognizes the singularity of black struggles against racial slavery</w:t>
      </w:r>
      <w:r>
        <w:rPr>
          <w:b w:val="0"/>
          <w:i w:val="0"/>
          <w:smallCaps w:val="0"/>
          <w:strike w:val="0"/>
          <w:u w:val="single"/>
        </w:rPr>
        <w:t xml:space="preserve"> and</w:t>
      </w:r>
      <w:r>
        <w:rPr>
          <w:b w:val="0"/>
          <w:i w:val="0"/>
          <w:smallCaps w:val="0"/>
          <w:strike w:val="0"/>
          <w:u w:val="none"/>
        </w:rPr>
        <w:t xml:space="preserve"> what Loïc Wacquant calls </w:t>
      </w:r>
      <w:r>
        <w:rPr>
          <w:b w:val="0"/>
          <w:i w:val="0"/>
          <w:smallCaps w:val="0"/>
          <w:strike w:val="0"/>
          <w:u w:val="single"/>
        </w:rPr>
        <w:t xml:space="preserve">its ‘functional surrogates’ or what Hartman terms its ‘afterlife’. Put differently, ‘the occult presence of racial </w:t>
      </w:r>
      <w:r>
        <w:rPr>
          <w:b w:val="0"/>
          <w:i w:val="0"/>
          <w:smallCaps w:val="0"/>
          <w:strike w:val="0"/>
          <w:highlight w:val="cyan"/>
          <w:u w:val="single"/>
        </w:rPr>
        <w:t>slavery’ continues to haunt our political imagination</w:t>
      </w:r>
      <w:r>
        <w:rPr>
          <w:b w:val="0"/>
          <w:i w:val="0"/>
          <w:smallCaps w:val="0"/>
          <w:strike w:val="0"/>
          <w:u w:val="single"/>
        </w:rPr>
        <w:t>: ‘nowhere, but nevertheless everywhere, a dead time which never arrives and does not stop arriving’</w:t>
      </w:r>
      <w:r>
        <w:rPr>
          <w:b w:val="0"/>
          <w:i w:val="0"/>
          <w:smallCaps w:val="0"/>
          <w:strike w:val="0"/>
          <w:u w:val="none"/>
        </w:rPr>
        <w:t xml:space="preserve"> (Marriott 2007: xxi). </w:t>
      </w:r>
      <w:r>
        <w:rPr>
          <w:b w:val="0"/>
          <w:i w:val="0"/>
          <w:smallCaps w:val="0"/>
          <w:strike w:val="0"/>
          <w:u w:val="single"/>
        </w:rPr>
        <w:t xml:space="preserve">Hartman’s notion of </w:t>
      </w:r>
      <w:r>
        <w:rPr>
          <w:b w:val="0"/>
          <w:i w:val="0"/>
          <w:smallCaps w:val="0"/>
          <w:strike w:val="0"/>
          <w:highlight w:val="cyan"/>
          <w:u w:val="single"/>
        </w:rPr>
        <w:t>slavery’s afterlife</w:t>
      </w:r>
      <w:r>
        <w:rPr>
          <w:b w:val="0"/>
          <w:i w:val="0"/>
          <w:smallCaps w:val="0"/>
          <w:strike w:val="0"/>
          <w:u w:val="none"/>
        </w:rPr>
        <w:t xml:space="preserve"> and Wacquant’s theorization of slavery’s functional surrogates are two productive recent attempts to name the interminable terror of slavery, but we </w:t>
      </w:r>
      <w:r>
        <w:rPr>
          <w:b w:val="0"/>
          <w:i w:val="0"/>
          <w:smallCaps w:val="0"/>
          <w:strike w:val="0"/>
          <w:highlight w:val="cyan"/>
          <w:u w:val="single"/>
        </w:rPr>
        <w:t>are still very much within the crisis of language – of thinking and feeling, seeing and hearing – that slavery provokes</w:t>
      </w:r>
      <w:r>
        <w:rPr>
          <w:b w:val="0"/>
          <w:i w:val="0"/>
          <w:smallCaps w:val="0"/>
          <w:strike w:val="0"/>
          <w:u w:val="single"/>
        </w:rPr>
        <w:t>.</w:t>
      </w:r>
      <w:r>
        <w:rPr>
          <w:b w:val="0"/>
          <w:i w:val="0"/>
          <w:smallCaps w:val="0"/>
          <w:strike w:val="0"/>
          <w:u w:val="none"/>
        </w:rPr>
        <w:t xml:space="preserve"> Both scholars challenge the optimistic idea of a residual ‘legacy’ of slavery, precisely because it requires the untenable demarcation of an historic end in Emancipation. The relations of slavery live on, Hartman might say, after the death knell of formal abolition, mutating into ‘the burdened individuality of freedom’. The functions of the chattel system are largely maintained, Wacquant might say, despite the efforts of Reconstruction, preserved in surrogate institutional form under Jim Crow, the ghetto, and the prison. </w:t>
      </w:r>
      <w:r>
        <w:rPr>
          <w:b w:val="0"/>
          <w:i w:val="0"/>
          <w:smallCaps w:val="0"/>
          <w:strike w:val="0"/>
          <w:highlight w:val="cyan"/>
          <w:u w:val="single"/>
        </w:rPr>
        <w:t>Slavery lives on, it survives, despite</w:t>
      </w:r>
      <w:r>
        <w:rPr>
          <w:b w:val="0"/>
          <w:i w:val="0"/>
          <w:smallCaps w:val="0"/>
          <w:strike w:val="0"/>
          <w:u w:val="single"/>
        </w:rPr>
        <w:t xml:space="preserve"> the grand </w:t>
      </w:r>
      <w:r>
        <w:rPr>
          <w:b w:val="0"/>
          <w:i w:val="0"/>
          <w:smallCaps w:val="0"/>
          <w:strike w:val="0"/>
          <w:highlight w:val="cyan"/>
          <w:u w:val="single"/>
        </w:rPr>
        <w:t>attempts</w:t>
      </w:r>
      <w:r>
        <w:rPr>
          <w:b w:val="0"/>
          <w:i w:val="0"/>
          <w:smallCaps w:val="0"/>
          <w:strike w:val="0"/>
          <w:u w:val="single"/>
        </w:rPr>
        <w:t xml:space="preserve"> on its institutional life </w:t>
      </w:r>
      <w:r>
        <w:rPr>
          <w:b w:val="0"/>
          <w:i w:val="0"/>
          <w:smallCaps w:val="0"/>
          <w:strike w:val="0"/>
          <w:highlight w:val="cyan"/>
          <w:u w:val="single"/>
        </w:rPr>
        <w:t>forged by</w:t>
      </w:r>
      <w:r>
        <w:rPr>
          <w:b w:val="0"/>
          <w:i w:val="0"/>
          <w:smallCaps w:val="0"/>
          <w:strike w:val="0"/>
          <w:u w:val="single"/>
        </w:rPr>
        <w:t xml:space="preserve"> the international </w:t>
      </w:r>
      <w:r>
        <w:rPr>
          <w:b w:val="0"/>
          <w:i w:val="0"/>
          <w:smallCaps w:val="0"/>
          <w:strike w:val="0"/>
          <w:highlight w:val="cyan"/>
          <w:u w:val="single"/>
        </w:rPr>
        <w:t>movements against slavery</w:t>
      </w:r>
      <w:r>
        <w:rPr>
          <w:b w:val="0"/>
          <w:i w:val="0"/>
          <w:smallCaps w:val="0"/>
          <w:strike w:val="0"/>
          <w:u w:val="single"/>
        </w:rPr>
        <w:t>, segregation and mass imprisonment</w:t>
      </w:r>
      <w:r>
        <w:rPr>
          <w:b w:val="0"/>
          <w:i w:val="0"/>
          <w:smallCaps w:val="0"/>
          <w:strike w:val="0"/>
          <w:u w:val="none"/>
        </w:rPr>
        <w:t xml:space="preserve"> (Davis 2003).</w:t>
      </w:r>
    </w:p>
    <w:p>
      <w:pPr>
        <w:spacing w:after="60"/>
      </w:pPr>
      <w:r>
        <w:rPr>
          <w:b w:val="0"/>
          <w:i w:val="0"/>
          <w:smallCaps w:val="0"/>
          <w:strike w:val="0"/>
          <w:u w:val="single"/>
        </w:rPr>
        <w:t>But what if slavery does not die, as it were, because it is immortal, but rather because it is non-mortal, because it has never lived, at least not in the psychic life of power?</w:t>
      </w:r>
      <w:r>
        <w:rPr>
          <w:b w:val="0"/>
          <w:i w:val="0"/>
          <w:smallCaps w:val="0"/>
          <w:strike w:val="0"/>
          <w:u w:val="none"/>
        </w:rPr>
        <w:t xml:space="preserve"> What if the source of slavery’s longevity is not its resilience in the face of opposition, but the obscurity of its existence? Not the accumulation of its political capital, but the illegibility of its grammar? On this account, </w:t>
      </w:r>
      <w:r>
        <w:rPr>
          <w:b w:val="0"/>
          <w:i w:val="0"/>
          <w:smallCaps w:val="0"/>
          <w:strike w:val="0"/>
          <w:highlight w:val="cyan"/>
          <w:u w:val="single"/>
        </w:rPr>
        <w:t>for those that bear the mark of slavery</w:t>
      </w:r>
      <w:r>
        <w:rPr>
          <w:b w:val="0"/>
          <w:i w:val="0"/>
          <w:smallCaps w:val="0"/>
          <w:strike w:val="0"/>
          <w:u w:val="single"/>
        </w:rPr>
        <w:t xml:space="preserve"> – the trace of blackness – </w:t>
      </w:r>
      <w:r>
        <w:rPr>
          <w:b w:val="0"/>
          <w:i w:val="0"/>
          <w:smallCaps w:val="0"/>
          <w:strike w:val="0"/>
          <w:highlight w:val="cyan"/>
          <w:u w:val="single"/>
        </w:rPr>
        <w:t>to speak is to sound off without foundation</w:t>
      </w:r>
      <w:r>
        <w:rPr>
          <w:b w:val="0"/>
          <w:i w:val="0"/>
          <w:smallCaps w:val="0"/>
          <w:strike w:val="0"/>
          <w:u w:val="single"/>
        </w:rPr>
        <w:t xml:space="preserve">, to appear as a ghost on the threshold of the visible world, a spook </w:t>
      </w:r>
      <w:r>
        <w:rPr>
          <w:b w:val="0"/>
          <w:i w:val="0"/>
          <w:smallCaps w:val="0"/>
          <w:strike w:val="0"/>
          <w:highlight w:val="cyan"/>
          <w:u w:val="single"/>
        </w:rPr>
        <w:t>retaining</w:t>
      </w:r>
      <w:r>
        <w:rPr>
          <w:b w:val="0"/>
          <w:i w:val="0"/>
          <w:smallCaps w:val="0"/>
          <w:strike w:val="0"/>
          <w:u w:val="single"/>
        </w:rPr>
        <w:t xml:space="preserve"> (only) the </w:t>
      </w:r>
      <w:r>
        <w:rPr>
          <w:b w:val="0"/>
          <w:i w:val="0"/>
          <w:smallCaps w:val="0"/>
          <w:strike w:val="0"/>
          <w:highlight w:val="cyan"/>
          <w:u w:val="single"/>
        </w:rPr>
        <w:t>negative capacity to</w:t>
      </w:r>
      <w:r>
        <w:rPr>
          <w:b w:val="0"/>
          <w:i w:val="0"/>
          <w:smallCaps w:val="0"/>
          <w:strike w:val="0"/>
          <w:u w:val="single"/>
        </w:rPr>
        <w:t xml:space="preserve"> absent the presence, or </w:t>
      </w:r>
      <w:r>
        <w:rPr>
          <w:b w:val="0"/>
          <w:i w:val="0"/>
          <w:smallCaps w:val="0"/>
          <w:strike w:val="0"/>
          <w:highlight w:val="cyan"/>
          <w:u w:val="single"/>
        </w:rPr>
        <w:t xml:space="preserve">negate the will to presence, of every claim to human being, </w:t>
      </w:r>
      <w:r>
        <w:rPr>
          <w:b/>
          <w:i w:val="0"/>
          <w:smallCaps w:val="0"/>
          <w:strike w:val="0"/>
          <w:highlight w:val="cyan"/>
          <w:u w:val="single"/>
        </w:rPr>
        <w:t>even</w:t>
      </w:r>
      <w:r>
        <w:rPr>
          <w:b/>
          <w:i w:val="0"/>
          <w:smallCaps w:val="0"/>
          <w:strike w:val="0"/>
          <w:u w:val="single"/>
        </w:rPr>
        <w:t xml:space="preserve"> perhaps </w:t>
      </w:r>
      <w:r>
        <w:rPr>
          <w:b/>
          <w:i w:val="0"/>
          <w:smallCaps w:val="0"/>
          <w:strike w:val="0"/>
          <w:highlight w:val="cyan"/>
          <w:u w:val="single"/>
        </w:rPr>
        <w:t>the fugitive movement</w:t>
      </w:r>
      <w:r>
        <w:rPr>
          <w:b w:val="0"/>
          <w:i w:val="0"/>
          <w:smallCaps w:val="0"/>
          <w:strike w:val="0"/>
          <w:highlight w:val="cyan"/>
          <w:u w:val="single"/>
        </w:rPr>
        <w:t xml:space="preserve"> of stolen life</w:t>
      </w:r>
      <w:r>
        <w:rPr>
          <w:b w:val="0"/>
          <w:i w:val="0"/>
          <w:smallCaps w:val="0"/>
          <w:strike w:val="0"/>
          <w:u w:val="single"/>
        </w:rPr>
        <w:t xml:space="preserve"> explored masterfully by Fred Moten</w:t>
      </w:r>
      <w:r>
        <w:rPr>
          <w:b w:val="0"/>
          <w:i w:val="0"/>
          <w:smallCaps w:val="0"/>
          <w:strike w:val="0"/>
          <w:u w:val="none"/>
        </w:rPr>
        <w:t xml:space="preserve"> (2008). </w:t>
      </w:r>
      <w:r>
        <w:rPr>
          <w:b w:val="0"/>
          <w:i w:val="0"/>
          <w:smallCaps w:val="0"/>
          <w:strike w:val="0"/>
          <w:highlight w:val="cyan"/>
          <w:u w:val="single"/>
        </w:rPr>
        <w:t>We might rethink</w:t>
      </w:r>
      <w:r>
        <w:rPr>
          <w:b w:val="0"/>
          <w:i w:val="0"/>
          <w:smallCaps w:val="0"/>
          <w:strike w:val="0"/>
          <w:u w:val="none"/>
        </w:rPr>
        <w:t xml:space="preserve"> as well </w:t>
      </w:r>
      <w:r>
        <w:rPr>
          <w:b w:val="0"/>
          <w:i w:val="0"/>
          <w:smallCaps w:val="0"/>
          <w:strike w:val="0"/>
          <w:highlight w:val="cyan"/>
          <w:u w:val="single"/>
        </w:rPr>
        <w:t>the</w:t>
      </w:r>
      <w:r>
        <w:rPr>
          <w:b w:val="0"/>
          <w:i w:val="0"/>
          <w:smallCaps w:val="0"/>
          <w:strike w:val="0"/>
          <w:u w:val="single"/>
        </w:rPr>
        <w:t xml:space="preserve"> very fruitful </w:t>
      </w:r>
      <w:r>
        <w:rPr>
          <w:b w:val="0"/>
          <w:i w:val="0"/>
          <w:smallCaps w:val="0"/>
          <w:strike w:val="0"/>
          <w:highlight w:val="cyan"/>
          <w:u w:val="single"/>
        </w:rPr>
        <w:t>notion of ‘fugitive justice</w:t>
      </w:r>
      <w:r>
        <w:rPr>
          <w:b w:val="0"/>
          <w:i w:val="0"/>
          <w:smallCaps w:val="0"/>
          <w:strike w:val="0"/>
          <w:highlight w:val="cyan"/>
          <w:u w:val="none"/>
        </w:rPr>
        <w:t>’</w:t>
      </w:r>
      <w:r>
        <w:rPr>
          <w:b w:val="0"/>
          <w:i w:val="0"/>
          <w:smallCaps w:val="0"/>
          <w:strike w:val="0"/>
          <w:u w:val="none"/>
        </w:rPr>
        <w:t xml:space="preserve"> that shapes the prize-winning 2005 special issue of Representations on ‘Redress’. Co-editors Saidiya Hartman and Stephen Best are posing the right question: ‘How does one compensate for centuries of violence that have as their consequence the impossibility of restoring a prior existence, of giving back what was taken, of repairing what was broken?’ (Hartman and Best 2005: 2) That is to say, they are thinking about ‘the question of slavery in terms of the incomplete nature of abolition’, </w:t>
      </w:r>
      <w:r>
        <w:rPr>
          <w:b w:val="0"/>
          <w:i w:val="0"/>
          <w:smallCaps w:val="0"/>
          <w:strike w:val="0"/>
          <w:u w:val="single"/>
        </w:rPr>
        <w:t>‘the contemporary predicament of freedom’</w:t>
      </w:r>
      <w:r>
        <w:rPr>
          <w:b w:val="0"/>
          <w:i w:val="0"/>
          <w:smallCaps w:val="0"/>
          <w:strike w:val="0"/>
          <w:u w:val="none"/>
        </w:rPr>
        <w:t xml:space="preserve"> (2005: 5, emphasis added). Yet, </w:t>
      </w:r>
      <w:r>
        <w:rPr>
          <w:b w:val="0"/>
          <w:i w:val="0"/>
          <w:smallCaps w:val="0"/>
          <w:strike w:val="0"/>
          <w:highlight w:val="cyan"/>
          <w:u w:val="single"/>
        </w:rPr>
        <w:t>the notion</w:t>
      </w:r>
      <w:r>
        <w:rPr>
          <w:b w:val="0"/>
          <w:i w:val="0"/>
          <w:smallCaps w:val="0"/>
          <w:strike w:val="0"/>
          <w:u w:val="single"/>
        </w:rPr>
        <w:t xml:space="preserve"> subsequently developed </w:t>
      </w:r>
      <w:r>
        <w:rPr>
          <w:b w:val="0"/>
          <w:i w:val="0"/>
          <w:smallCaps w:val="0"/>
          <w:strike w:val="0"/>
          <w:highlight w:val="cyan"/>
          <w:u w:val="single"/>
        </w:rPr>
        <w:t>of a fugitive life</w:t>
      </w:r>
      <w:r>
        <w:rPr>
          <w:b w:val="0"/>
          <w:i w:val="0"/>
          <w:smallCaps w:val="0"/>
          <w:strike w:val="0"/>
          <w:u w:val="single"/>
        </w:rPr>
        <w:t xml:space="preserve"> ‘lived in loss’ – spanning the split difference between grievance and grief, remedy and redress, law and justice, hope and resignation – </w:t>
      </w:r>
      <w:r>
        <w:rPr>
          <w:b/>
          <w:i w:val="0"/>
          <w:smallCaps w:val="0"/>
          <w:strike w:val="0"/>
          <w:highlight w:val="cyan"/>
          <w:u w:val="single"/>
        </w:rPr>
        <w:t>relies</w:t>
      </w:r>
      <w:r>
        <w:rPr>
          <w:b/>
          <w:i w:val="0"/>
          <w:smallCaps w:val="0"/>
          <w:strike w:val="0"/>
          <w:u w:val="single"/>
        </w:rPr>
        <w:t xml:space="preserve"> nonetheless </w:t>
      </w:r>
      <w:r>
        <w:rPr>
          <w:b/>
          <w:i w:val="0"/>
          <w:smallCaps w:val="0"/>
          <w:strike w:val="0"/>
          <w:highlight w:val="cyan"/>
          <w:u w:val="single"/>
        </w:rPr>
        <w:t>on an outside</w:t>
      </w:r>
      <w:r>
        <w:rPr>
          <w:b w:val="0"/>
          <w:i w:val="0"/>
          <w:smallCaps w:val="0"/>
          <w:strike w:val="0"/>
          <w:u w:val="single"/>
        </w:rPr>
        <w:t xml:space="preserve">, however improbable or impossible, </w:t>
      </w:r>
      <w:r>
        <w:rPr>
          <w:b w:val="0"/>
          <w:i w:val="0"/>
          <w:smallCaps w:val="0"/>
          <w:strike w:val="0"/>
          <w:highlight w:val="cyan"/>
          <w:u w:val="single"/>
        </w:rPr>
        <w:t>as the space of possibility, of movement, of life.</w:t>
      </w:r>
      <w:r>
        <w:rPr>
          <w:b w:val="0"/>
          <w:i w:val="0"/>
          <w:smallCaps w:val="0"/>
          <w:strike w:val="0"/>
          <w:u w:val="single"/>
        </w:rPr>
        <w:t xml:space="preserve"> </w:t>
      </w:r>
      <w:r>
        <w:rPr>
          <w:b w:val="0"/>
          <w:i w:val="0"/>
          <w:smallCaps w:val="0"/>
          <w:strike w:val="0"/>
          <w:u w:val="none"/>
        </w:rPr>
        <w:t xml:space="preserve">Returning to our schematization of Fanon, we can say that </w:t>
      </w:r>
      <w:r>
        <w:rPr>
          <w:b w:val="0"/>
          <w:i w:val="0"/>
          <w:smallCaps w:val="0"/>
          <w:strike w:val="0"/>
          <w:highlight w:val="cyan"/>
          <w:u w:val="single"/>
        </w:rPr>
        <w:t>the outside is a concept embedded in</w:t>
      </w:r>
      <w:r>
        <w:rPr>
          <w:b w:val="0"/>
          <w:i w:val="0"/>
          <w:smallCaps w:val="0"/>
          <w:strike w:val="0"/>
          <w:u w:val="single"/>
        </w:rPr>
        <w:t xml:space="preserve"> the problématique of </w:t>
      </w:r>
      <w:r>
        <w:rPr>
          <w:b/>
          <w:i w:val="0"/>
          <w:smallCaps w:val="0"/>
          <w:strike w:val="0"/>
          <w:highlight w:val="cyan"/>
          <w:u w:val="single"/>
        </w:rPr>
        <w:t>colonization and its imaginary topography</w:t>
      </w:r>
      <w:r>
        <w:rPr>
          <w:b w:val="0"/>
          <w:i w:val="0"/>
          <w:smallCaps w:val="0"/>
          <w:strike w:val="0"/>
          <w:u w:val="single"/>
        </w:rPr>
        <w:t>, indeed, the fact that it can imagine topographically at all.</w:t>
      </w:r>
      <w:r>
        <w:rPr>
          <w:b w:val="0"/>
          <w:i w:val="0"/>
          <w:smallCaps w:val="0"/>
          <w:strike w:val="0"/>
          <w:u w:val="none"/>
        </w:rPr>
        <w:t xml:space="preserve"> But, even if the freedom dreams of the black radical imagination do conjure images of place (and to do here does not imply that one can in either sense of the latter word: able or permitted); </w:t>
      </w:r>
      <w:r>
        <w:rPr>
          <w:b w:val="0"/>
          <w:i w:val="0"/>
          <w:smallCaps w:val="0"/>
          <w:strike w:val="0"/>
          <w:u w:val="single"/>
        </w:rPr>
        <w:t xml:space="preserve">what both the fact of </w:t>
      </w:r>
      <w:r>
        <w:rPr>
          <w:b w:val="0"/>
          <w:i w:val="0"/>
          <w:smallCaps w:val="0"/>
          <w:strike w:val="0"/>
          <w:highlight w:val="cyan"/>
          <w:u w:val="single"/>
        </w:rPr>
        <w:t>blackness</w:t>
      </w:r>
      <w:r>
        <w:rPr>
          <w:b w:val="0"/>
          <w:i w:val="0"/>
          <w:smallCaps w:val="0"/>
          <w:strike w:val="0"/>
          <w:u w:val="single"/>
        </w:rPr>
        <w:t xml:space="preserve"> and the lived experience of the black </w:t>
      </w:r>
      <w:r>
        <w:rPr>
          <w:b w:val="0"/>
          <w:i w:val="0"/>
          <w:smallCaps w:val="0"/>
          <w:strike w:val="0"/>
          <w:highlight w:val="cyan"/>
          <w:u w:val="single"/>
        </w:rPr>
        <w:t>name</w:t>
      </w:r>
      <w:r>
        <w:rPr>
          <w:b w:val="0"/>
          <w:i w:val="0"/>
          <w:smallCaps w:val="0"/>
          <w:strike w:val="0"/>
          <w:u w:val="single"/>
        </w:rPr>
        <w:t xml:space="preserve"> for us, in their discrepant registers, is </w:t>
      </w:r>
      <w:r>
        <w:rPr>
          <w:b w:val="0"/>
          <w:i w:val="0"/>
          <w:smallCaps w:val="0"/>
          <w:strike w:val="0"/>
          <w:highlight w:val="cyan"/>
          <w:u w:val="single"/>
        </w:rPr>
        <w:t xml:space="preserve">an anti-black world for which </w:t>
      </w:r>
      <w:r>
        <w:rPr>
          <w:b/>
          <w:i w:val="0"/>
          <w:smallCaps w:val="0"/>
          <w:strike w:val="0"/>
          <w:highlight w:val="cyan"/>
          <w:u w:val="single"/>
        </w:rPr>
        <w:t>there is no outside</w:t>
      </w:r>
      <w:r>
        <w:rPr>
          <w:b w:val="0"/>
          <w:i w:val="0"/>
          <w:smallCaps w:val="0"/>
          <w:strike w:val="0"/>
          <w:u w:val="none"/>
        </w:rPr>
        <w:t xml:space="preserve">. 6 ‘The language of race developed in the modern period and in the context of the slave trade’ (Hartman 2007: 5). And if that context is our context and that context is the world, </w:t>
      </w:r>
      <w:r>
        <w:rPr>
          <w:b w:val="0"/>
          <w:i w:val="0"/>
          <w:smallCaps w:val="0"/>
          <w:strike w:val="0"/>
          <w:highlight w:val="cyan"/>
          <w:u w:val="single"/>
        </w:rPr>
        <w:t>then</w:t>
      </w:r>
      <w:r>
        <w:rPr>
          <w:b w:val="0"/>
          <w:i w:val="0"/>
          <w:smallCaps w:val="0"/>
          <w:strike w:val="0"/>
          <w:u w:val="single"/>
        </w:rPr>
        <w:t xml:space="preserve"> this </w:t>
      </w:r>
      <w:r>
        <w:rPr>
          <w:b w:val="0"/>
          <w:i w:val="0"/>
          <w:smallCaps w:val="0"/>
          <w:strike w:val="0"/>
          <w:highlight w:val="cyan"/>
          <w:u w:val="single"/>
        </w:rPr>
        <w:t>is</w:t>
      </w:r>
      <w:r>
        <w:rPr>
          <w:b w:val="0"/>
          <w:i w:val="0"/>
          <w:smallCaps w:val="0"/>
          <w:strike w:val="0"/>
          <w:u w:val="single"/>
        </w:rPr>
        <w:t xml:space="preserve"> the principal insight </w:t>
      </w:r>
      <w:r>
        <w:rPr>
          <w:b w:val="0"/>
          <w:i w:val="0"/>
          <w:smallCaps w:val="0"/>
          <w:strike w:val="0"/>
          <w:highlight w:val="cyan"/>
          <w:u w:val="single"/>
        </w:rPr>
        <w:t>revealed by</w:t>
      </w:r>
      <w:r>
        <w:rPr>
          <w:b w:val="0"/>
          <w:i w:val="0"/>
          <w:smallCaps w:val="0"/>
          <w:strike w:val="0"/>
          <w:u w:val="single"/>
        </w:rPr>
        <w:t xml:space="preserve"> </w:t>
      </w:r>
      <w:r>
        <w:rPr>
          <w:b w:val="0"/>
          <w:i w:val="0"/>
          <w:smallCaps w:val="0"/>
          <w:strike w:val="0"/>
          <w:highlight w:val="cyan"/>
          <w:u w:val="single"/>
        </w:rPr>
        <w:t>the</w:t>
      </w:r>
      <w:r>
        <w:rPr>
          <w:b w:val="0"/>
          <w:i w:val="0"/>
          <w:smallCaps w:val="0"/>
          <w:strike w:val="0"/>
          <w:u w:val="single"/>
        </w:rPr>
        <w:t xml:space="preserve"> contemporary </w:t>
      </w:r>
      <w:r>
        <w:rPr>
          <w:b w:val="0"/>
          <w:i w:val="0"/>
          <w:smallCaps w:val="0"/>
          <w:strike w:val="0"/>
          <w:highlight w:val="cyan"/>
          <w:u w:val="single"/>
        </w:rPr>
        <w:t xml:space="preserve">predicament of freedom: </w:t>
      </w:r>
      <w:r>
        <w:rPr>
          <w:b/>
          <w:i w:val="0"/>
          <w:smallCaps w:val="0"/>
          <w:strike w:val="0"/>
          <w:highlight w:val="cyan"/>
          <w:u w:val="single"/>
        </w:rPr>
        <w:t>there is no such thing as a fugitive slave.</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