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 curbing is effective. </w:t>
      </w:r>
    </w:p>
    <w:p>
      <w:pPr>
        <w:spacing w:after="80"/>
      </w:pPr>
      <w:r>
        <w:rPr>
          <w:b/>
          <w:i w:val="0"/>
          <w:smallCaps w:val="0"/>
          <w:strike w:val="0"/>
          <w:sz w:val="26"/>
          <w:u w:val="none"/>
        </w:rPr>
        <w:t>Marino 12</w:t>
      </w:r>
      <w:r>
        <w:rPr>
          <w:b w:val="0"/>
          <w:i w:val="0"/>
          <w:smallCaps w:val="0"/>
          <w:strike w:val="0"/>
          <w:u w:val="none"/>
        </w:rPr>
        <w:t xml:space="preserve">---Philip Marino, Department of Political Science (“Court-Curbing: Why and When Members of Congress Seek to Harm the Supreme Court”, Spring 2012, </w:t>
      </w:r>
      <w:r>
        <w:rPr>
          <w:b w:val="0"/>
          <w:i w:val="0"/>
          <w:smallCaps w:val="0"/>
          <w:strike w:val="0"/>
          <w:u w:val="none"/>
        </w:rPr>
        <w:t>https://diginole.lib.fsu.edu/islandora/object/fsu:204477/datastream/PDF/view</w:t>
      </w:r>
      <w:r>
        <w:rPr>
          <w:b w:val="0"/>
          <w:i w:val="0"/>
          <w:smallCaps w:val="0"/>
          <w:strike w:val="0"/>
          <w:u w:val="none"/>
        </w:rPr>
        <w:t>)//AN</w:t>
      </w:r>
    </w:p>
    <w:p>
      <w:pPr>
        <w:spacing w:after="60"/>
      </w:pPr>
      <w:r>
        <w:rPr>
          <w:b/>
          <w:i w:val="0"/>
          <w:smallCaps w:val="0"/>
          <w:strike w:val="0"/>
          <w:sz w:val="22"/>
          <w:highlight w:val="cyan"/>
          <w:u w:val="single"/>
        </w:rPr>
        <w:t>It has</w:t>
      </w:r>
      <w:r>
        <w:rPr>
          <w:b/>
          <w:i w:val="0"/>
          <w:smallCaps w:val="0"/>
          <w:strike w:val="0"/>
          <w:sz w:val="22"/>
          <w:u w:val="single"/>
        </w:rPr>
        <w:t xml:space="preserve"> </w:t>
      </w:r>
      <w:r>
        <w:rPr>
          <w:b/>
          <w:i w:val="0"/>
          <w:smallCaps w:val="0"/>
          <w:strike w:val="0"/>
          <w:sz w:val="22"/>
          <w:u w:val="single"/>
        </w:rPr>
        <w:t xml:space="preserve">already </w:t>
      </w:r>
      <w:r>
        <w:rPr>
          <w:b/>
          <w:i w:val="0"/>
          <w:smallCaps w:val="0"/>
          <w:strike w:val="0"/>
          <w:sz w:val="22"/>
          <w:highlight w:val="cyan"/>
          <w:u w:val="single"/>
        </w:rPr>
        <w:t>been</w:t>
      </w:r>
      <w:r>
        <w:rPr>
          <w:b w:val="0"/>
          <w:i w:val="0"/>
          <w:smallCaps w:val="0"/>
          <w:strike w:val="0"/>
          <w:sz w:val="16"/>
          <w:u w:val="none"/>
        </w:rPr>
        <w:t xml:space="preserve"> strongly and scientifically </w:t>
      </w:r>
      <w:r>
        <w:rPr>
          <w:b/>
          <w:i w:val="0"/>
          <w:smallCaps w:val="0"/>
          <w:strike w:val="0"/>
          <w:sz w:val="22"/>
          <w:highlight w:val="cyan"/>
          <w:u w:val="single"/>
        </w:rPr>
        <w:t>demonstrated</w:t>
      </w:r>
      <w:r>
        <w:rPr>
          <w:b/>
          <w:i w:val="0"/>
          <w:smallCaps w:val="0"/>
          <w:strike w:val="0"/>
          <w:sz w:val="22"/>
          <w:highlight w:val="cyan"/>
          <w:u w:val="single"/>
        </w:rPr>
        <w:t xml:space="preserve"> that</w:t>
      </w:r>
      <w:r>
        <w:rPr>
          <w:b w:val="0"/>
          <w:i w:val="0"/>
          <w:smallCaps w:val="0"/>
          <w:strike w:val="0"/>
          <w:sz w:val="16"/>
          <w:u w:val="none"/>
        </w:rPr>
        <w:t xml:space="preserve"> proposed </w:t>
      </w:r>
      <w:r>
        <w:rPr>
          <w:b/>
          <w:i w:val="0"/>
          <w:smallCaps w:val="0"/>
          <w:strike w:val="0"/>
          <w:sz w:val="22"/>
          <w:highlight w:val="cyan"/>
          <w:u w:val="single"/>
        </w:rPr>
        <w:t>Court-</w:t>
      </w:r>
      <w:r>
        <w:rPr>
          <w:b/>
          <w:i w:val="0"/>
          <w:smallCaps w:val="0"/>
          <w:strike w:val="0"/>
          <w:sz w:val="22"/>
          <w:highlight w:val="cyan"/>
          <w:u w:val="single"/>
        </w:rPr>
        <w:t>curbing</w:t>
      </w:r>
      <w:r>
        <w:rPr>
          <w:b/>
          <w:i w:val="0"/>
          <w:smallCaps w:val="0"/>
          <w:strike w:val="0"/>
          <w:sz w:val="22"/>
          <w:u w:val="single"/>
        </w:rPr>
        <w:t xml:space="preserve"> legislation</w:t>
      </w:r>
      <w:r>
        <w:rPr>
          <w:b/>
          <w:i w:val="0"/>
          <w:smallCaps w:val="0"/>
          <w:strike w:val="0"/>
          <w:sz w:val="22"/>
          <w:u w:val="single"/>
        </w:rPr>
        <w:t xml:space="preserve"> </w:t>
      </w:r>
      <w:r>
        <w:rPr>
          <w:b/>
          <w:i w:val="0"/>
          <w:smallCaps w:val="0"/>
          <w:strike w:val="0"/>
          <w:sz w:val="22"/>
          <w:highlight w:val="cyan"/>
          <w:u w:val="single"/>
        </w:rPr>
        <w:t>is</w:t>
      </w:r>
      <w:r>
        <w:rPr>
          <w:b/>
          <w:i w:val="0"/>
          <w:smallCaps w:val="0"/>
          <w:strike w:val="0"/>
          <w:sz w:val="22"/>
          <w:u w:val="single"/>
        </w:rPr>
        <w:t xml:space="preserve"> an </w:t>
      </w:r>
      <w:r>
        <w:rPr>
          <w:b/>
          <w:i w:val="0"/>
          <w:smallCaps w:val="0"/>
          <w:strike w:val="0"/>
          <w:sz w:val="22"/>
          <w:highlight w:val="cyan"/>
          <w:u w:val="single"/>
        </w:rPr>
        <w:t>effective</w:t>
      </w:r>
      <w:r>
        <w:rPr>
          <w:b/>
          <w:i w:val="0"/>
          <w:smallCaps w:val="0"/>
          <w:strike w:val="0"/>
          <w:sz w:val="22"/>
          <w:u w:val="single"/>
        </w:rPr>
        <w:t xml:space="preserve"> means</w:t>
      </w:r>
      <w:r>
        <w:rPr>
          <w:b/>
          <w:i w:val="0"/>
          <w:smallCaps w:val="0"/>
          <w:strike w:val="0"/>
          <w:sz w:val="22"/>
          <w:u w:val="single"/>
        </w:rPr>
        <w:t xml:space="preserve"> by which</w:t>
      </w:r>
      <w:r>
        <w:rPr>
          <w:b w:val="0"/>
          <w:i w:val="0"/>
          <w:smallCaps w:val="0"/>
          <w:strike w:val="0"/>
          <w:sz w:val="16"/>
          <w:u w:val="none"/>
        </w:rPr>
        <w:t xml:space="preserve"> Members of </w:t>
      </w:r>
      <w:r>
        <w:rPr>
          <w:b/>
          <w:i w:val="0"/>
          <w:smallCaps w:val="0"/>
          <w:strike w:val="0"/>
          <w:sz w:val="22"/>
          <w:u w:val="single"/>
        </w:rPr>
        <w:t>Congress</w:t>
      </w:r>
      <w:r>
        <w:rPr>
          <w:b/>
          <w:i w:val="0"/>
          <w:smallCaps w:val="0"/>
          <w:strike w:val="0"/>
          <w:sz w:val="22"/>
          <w:u w:val="single"/>
        </w:rPr>
        <w:t xml:space="preserve"> may </w:t>
      </w:r>
      <w:r>
        <w:rPr>
          <w:b/>
          <w:i w:val="0"/>
          <w:smallCaps w:val="0"/>
          <w:strike w:val="0"/>
          <w:sz w:val="22"/>
          <w:u w:val="single"/>
        </w:rPr>
        <w:t>communicate</w:t>
      </w:r>
      <w:r>
        <w:rPr>
          <w:b/>
          <w:i w:val="0"/>
          <w:smallCaps w:val="0"/>
          <w:strike w:val="0"/>
          <w:sz w:val="22"/>
          <w:u w:val="single"/>
        </w:rPr>
        <w:t xml:space="preserve"> with the Court</w:t>
      </w:r>
      <w:r>
        <w:rPr>
          <w:b w:val="0"/>
          <w:i w:val="0"/>
          <w:smallCaps w:val="0"/>
          <w:strike w:val="0"/>
          <w:sz w:val="16"/>
          <w:u w:val="none"/>
        </w:rPr>
        <w:t xml:space="preserve"> and that </w:t>
      </w:r>
      <w:r>
        <w:rPr>
          <w:b/>
          <w:i w:val="0"/>
          <w:smallCaps w:val="0"/>
          <w:strike w:val="0"/>
          <w:sz w:val="22"/>
          <w:u w:val="single"/>
        </w:rPr>
        <w:t xml:space="preserve">the </w:t>
      </w:r>
      <w:r>
        <w:rPr>
          <w:b/>
          <w:i w:val="0"/>
          <w:smallCaps w:val="0"/>
          <w:strike w:val="0"/>
          <w:sz w:val="22"/>
          <w:u w:val="single"/>
        </w:rPr>
        <w:t>Court</w:t>
      </w:r>
      <w:r>
        <w:rPr>
          <w:b/>
          <w:i w:val="0"/>
          <w:smallCaps w:val="0"/>
          <w:strike w:val="0"/>
          <w:sz w:val="22"/>
          <w:u w:val="single"/>
        </w:rPr>
        <w:t xml:space="preserve"> is</w:t>
      </w:r>
      <w:r>
        <w:rPr>
          <w:b w:val="0"/>
          <w:i w:val="0"/>
          <w:smallCaps w:val="0"/>
          <w:strike w:val="0"/>
          <w:sz w:val="16"/>
          <w:u w:val="none"/>
        </w:rPr>
        <w:t xml:space="preserve"> very </w:t>
      </w:r>
      <w:r>
        <w:rPr>
          <w:b/>
          <w:i w:val="0"/>
          <w:smallCaps w:val="0"/>
          <w:strike w:val="0"/>
          <w:sz w:val="22"/>
          <w:u w:val="single"/>
        </w:rPr>
        <w:t>likely</w:t>
      </w:r>
      <w:r>
        <w:rPr>
          <w:b/>
          <w:i w:val="0"/>
          <w:smallCaps w:val="0"/>
          <w:strike w:val="0"/>
          <w:sz w:val="22"/>
          <w:u w:val="single"/>
        </w:rPr>
        <w:t xml:space="preserve"> to</w:t>
      </w:r>
      <w:r>
        <w:rPr>
          <w:b w:val="0"/>
          <w:i w:val="0"/>
          <w:smallCaps w:val="0"/>
          <w:strike w:val="0"/>
          <w:sz w:val="16"/>
          <w:u w:val="none"/>
        </w:rPr>
        <w:t xml:space="preserve"> hear fewer cases and to </w:t>
      </w:r>
      <w:r>
        <w:rPr>
          <w:b/>
          <w:i w:val="0"/>
          <w:smallCaps w:val="0"/>
          <w:strike w:val="0"/>
          <w:sz w:val="22"/>
          <w:u w:val="single"/>
        </w:rPr>
        <w:t xml:space="preserve">strike </w:t>
      </w:r>
      <w:r>
        <w:rPr>
          <w:b/>
          <w:i w:val="0"/>
          <w:smallCaps w:val="0"/>
          <w:strike w:val="0"/>
          <w:sz w:val="22"/>
          <w:u w:val="single"/>
        </w:rPr>
        <w:t>fewer laws</w:t>
      </w:r>
      <w:r>
        <w:rPr>
          <w:b/>
          <w:i w:val="0"/>
          <w:smallCaps w:val="0"/>
          <w:strike w:val="0"/>
          <w:sz w:val="22"/>
          <w:u w:val="single"/>
        </w:rPr>
        <w:t xml:space="preserve"> when </w:t>
      </w:r>
      <w:r>
        <w:rPr>
          <w:b/>
          <w:i w:val="0"/>
          <w:smallCaps w:val="0"/>
          <w:strike w:val="0"/>
          <w:sz w:val="22"/>
          <w:u w:val="single"/>
        </w:rPr>
        <w:t>presented</w:t>
      </w:r>
      <w:r>
        <w:rPr>
          <w:b/>
          <w:i w:val="0"/>
          <w:smallCaps w:val="0"/>
          <w:strike w:val="0"/>
          <w:sz w:val="22"/>
          <w:u w:val="single"/>
        </w:rPr>
        <w:t xml:space="preserve"> with an increase in Court-</w:t>
      </w:r>
      <w:r>
        <w:rPr>
          <w:b/>
          <w:i w:val="0"/>
          <w:smallCaps w:val="0"/>
          <w:strike w:val="0"/>
          <w:sz w:val="22"/>
          <w:u w:val="single"/>
        </w:rPr>
        <w:t>curbing</w:t>
      </w:r>
      <w:r>
        <w:rPr>
          <w:b/>
          <w:i w:val="0"/>
          <w:smallCaps w:val="0"/>
          <w:strike w:val="0"/>
          <w:sz w:val="22"/>
          <w:u w:val="single"/>
        </w:rPr>
        <w:t xml:space="preserve"> legislation</w:t>
      </w:r>
      <w:r>
        <w:rPr>
          <w:b w:val="0"/>
          <w:i w:val="0"/>
          <w:smallCaps w:val="0"/>
          <w:strike w:val="0"/>
          <w:sz w:val="16"/>
          <w:u w:val="none"/>
        </w:rPr>
        <w:t xml:space="preserve"> (Clark, 2009). However, it is the case that Congress seems to have very specific goals in mind while curbing the Court and that more mundane acts of the Court do not draw Congressional attention and Court-curbing legislation (Henschen, 1982). As a result of this knowledge, the Supreme Court often seeks to avoid hearing cases that are likely to draw unwanted and dangerous attention from Congress and cases that would force the Court into opposing public opinion (</w:t>
      </w:r>
      <w:r>
        <w:rPr>
          <w:b w:val="0"/>
          <w:i w:val="0"/>
          <w:smallCaps w:val="0"/>
          <w:strike w:val="0"/>
          <w:sz w:val="16"/>
          <w:u w:val="none"/>
        </w:rPr>
        <w:t>Goelzhauser</w:t>
      </w:r>
      <w:r>
        <w:rPr>
          <w:b w:val="0"/>
          <w:i w:val="0"/>
          <w:smallCaps w:val="0"/>
          <w:strike w:val="0"/>
          <w:sz w:val="16"/>
          <w:u w:val="none"/>
        </w:rPr>
        <w:t xml:space="preserve">, 2010; Hansford and Damore, 2000; Marshall, 1986; Franklin and </w:t>
      </w:r>
      <w:r>
        <w:rPr>
          <w:b w:val="0"/>
          <w:i w:val="0"/>
          <w:smallCaps w:val="0"/>
          <w:strike w:val="0"/>
          <w:sz w:val="16"/>
          <w:u w:val="none"/>
        </w:rPr>
        <w:t>Kosaki</w:t>
      </w:r>
      <w:r>
        <w:rPr>
          <w:b w:val="0"/>
          <w:i w:val="0"/>
          <w:smallCaps w:val="0"/>
          <w:strike w:val="0"/>
          <w:sz w:val="16"/>
          <w:u w:val="none"/>
        </w:rPr>
        <w:t xml:space="preserve">, 1989; Hoekstra, 2000). Carefully choosing the Court’s battles seems to largely – but not exclusively – result from the efforts of the Chief Justice and the Senior Associate Justice, who have some sway over what cases are heard and decided on, but most importantly how cases are decided and to what extent the Court’s majority opinion alters policy (Johnson, Spriggs, and Wahlbeck, 2005; Dorff and Brenner, 1992; O’Brien, 1985). </w:t>
      </w:r>
      <w:r>
        <w:rPr>
          <w:b/>
          <w:i w:val="0"/>
          <w:smallCaps w:val="0"/>
          <w:strike w:val="0"/>
          <w:sz w:val="22"/>
          <w:highlight w:val="cyan"/>
          <w:u w:val="single"/>
        </w:rPr>
        <w:t xml:space="preserve">In </w:t>
      </w:r>
      <w:r>
        <w:rPr>
          <w:b/>
          <w:i w:val="0"/>
          <w:smallCaps w:val="0"/>
          <w:strike w:val="0"/>
          <w:sz w:val="22"/>
          <w:highlight w:val="cyan"/>
          <w:u w:val="single"/>
        </w:rPr>
        <w:t>many cases</w:t>
      </w:r>
      <w:r>
        <w:rPr>
          <w:b/>
          <w:i w:val="0"/>
          <w:smallCaps w:val="0"/>
          <w:strike w:val="0"/>
          <w:sz w:val="22"/>
          <w:highlight w:val="cyan"/>
          <w:u w:val="single"/>
        </w:rPr>
        <w:t>, the</w:t>
      </w:r>
      <w:r>
        <w:rPr>
          <w:b/>
          <w:i w:val="0"/>
          <w:smallCaps w:val="0"/>
          <w:strike w:val="0"/>
          <w:sz w:val="22"/>
          <w:u w:val="single"/>
        </w:rPr>
        <w:t xml:space="preserve"> Supreme </w:t>
      </w:r>
      <w:r>
        <w:rPr>
          <w:b/>
          <w:i w:val="0"/>
          <w:smallCaps w:val="0"/>
          <w:strike w:val="0"/>
          <w:sz w:val="22"/>
          <w:highlight w:val="cyan"/>
          <w:u w:val="single"/>
        </w:rPr>
        <w:t xml:space="preserve">Court </w:t>
      </w:r>
      <w:r>
        <w:rPr>
          <w:b/>
          <w:i w:val="0"/>
          <w:smallCaps w:val="0"/>
          <w:strike w:val="0"/>
          <w:sz w:val="22"/>
          <w:highlight w:val="cyan"/>
          <w:u w:val="single"/>
        </w:rPr>
        <w:t>bows</w:t>
      </w:r>
      <w:r>
        <w:rPr>
          <w:b/>
          <w:i w:val="0"/>
          <w:smallCaps w:val="0"/>
          <w:strike w:val="0"/>
          <w:sz w:val="22"/>
          <w:highlight w:val="cyan"/>
          <w:u w:val="single"/>
        </w:rPr>
        <w:t xml:space="preserve"> to the </w:t>
      </w:r>
      <w:r>
        <w:rPr>
          <w:b/>
          <w:i w:val="0"/>
          <w:smallCaps w:val="0"/>
          <w:strike w:val="0"/>
          <w:sz w:val="22"/>
          <w:highlight w:val="cyan"/>
          <w:u w:val="single"/>
        </w:rPr>
        <w:t>preferences</w:t>
      </w:r>
      <w:r>
        <w:rPr>
          <w:b/>
          <w:i w:val="0"/>
          <w:smallCaps w:val="0"/>
          <w:strike w:val="0"/>
          <w:sz w:val="22"/>
          <w:highlight w:val="cyan"/>
          <w:u w:val="single"/>
        </w:rPr>
        <w:t xml:space="preserve"> of </w:t>
      </w:r>
      <w:r>
        <w:rPr>
          <w:b/>
          <w:i w:val="0"/>
          <w:smallCaps w:val="0"/>
          <w:strike w:val="0"/>
          <w:sz w:val="22"/>
          <w:highlight w:val="cyan"/>
          <w:u w:val="single"/>
        </w:rPr>
        <w:t>Congress</w:t>
      </w:r>
      <w:r>
        <w:rPr>
          <w:b/>
          <w:i w:val="0"/>
          <w:smallCaps w:val="0"/>
          <w:strike w:val="0"/>
          <w:sz w:val="22"/>
          <w:u w:val="single"/>
        </w:rPr>
        <w:t xml:space="preserve"> and </w:t>
      </w:r>
      <w:r>
        <w:rPr>
          <w:b/>
          <w:i w:val="0"/>
          <w:smallCaps w:val="0"/>
          <w:strike w:val="0"/>
          <w:sz w:val="22"/>
          <w:u w:val="single"/>
        </w:rPr>
        <w:t>decides cases</w:t>
      </w:r>
      <w:r>
        <w:rPr>
          <w:b/>
          <w:i w:val="0"/>
          <w:smallCaps w:val="0"/>
          <w:strike w:val="0"/>
          <w:sz w:val="22"/>
          <w:u w:val="single"/>
        </w:rPr>
        <w:t xml:space="preserve"> in a manner that will </w:t>
      </w:r>
      <w:r>
        <w:rPr>
          <w:b/>
          <w:i w:val="0"/>
          <w:smallCaps w:val="0"/>
          <w:strike w:val="0"/>
          <w:sz w:val="22"/>
          <w:u w:val="single"/>
        </w:rPr>
        <w:t>not draw</w:t>
      </w:r>
      <w:r>
        <w:rPr>
          <w:b/>
          <w:i w:val="0"/>
          <w:smallCaps w:val="0"/>
          <w:strike w:val="0"/>
          <w:sz w:val="22"/>
          <w:u w:val="single"/>
        </w:rPr>
        <w:t xml:space="preserve"> the </w:t>
      </w:r>
      <w:r>
        <w:rPr>
          <w:b/>
          <w:i w:val="0"/>
          <w:smallCaps w:val="0"/>
          <w:strike w:val="0"/>
          <w:sz w:val="22"/>
          <w:u w:val="single"/>
        </w:rPr>
        <w:t>ire</w:t>
      </w:r>
      <w:r>
        <w:rPr>
          <w:b/>
          <w:i w:val="0"/>
          <w:smallCaps w:val="0"/>
          <w:strike w:val="0"/>
          <w:sz w:val="22"/>
          <w:u w:val="single"/>
        </w:rPr>
        <w:t xml:space="preserve"> of Congress</w:t>
      </w:r>
      <w:r>
        <w:rPr>
          <w:b w:val="0"/>
          <w:i w:val="0"/>
          <w:smallCaps w:val="0"/>
          <w:strike w:val="0"/>
          <w:sz w:val="16"/>
          <w:u w:val="none"/>
        </w:rPr>
        <w:t xml:space="preserve"> or its members (Segal, 1997). Nevertheless, when the Court does choose to exert its influence over policy, it wields enormous, albeit highly concentrated and specific, power over a narrow policy issue (Flemming, Bohte, and Wood, 1997). Although Congress is typically considered the more “powerful” institution, the Supreme Court is not without influence or authority and is a very real threat to Congressional policy preferences. </w:t>
      </w:r>
    </w:p>
    <w:p>
      <w:pPr>
        <w:spacing w:after="60"/>
      </w:pPr>
      <w:r>
        <w:rPr>
          <w:b/>
          <w:i w:val="0"/>
          <w:smallCaps w:val="0"/>
          <w:strike w:val="0"/>
          <w:sz w:val="22"/>
          <w:highlight w:val="cyan"/>
          <w:u w:val="single"/>
        </w:rPr>
        <w:t xml:space="preserve">It is </w:t>
      </w:r>
      <w:r>
        <w:rPr>
          <w:b/>
          <w:i w:val="0"/>
          <w:smallCaps w:val="0"/>
          <w:strike w:val="0"/>
          <w:sz w:val="22"/>
          <w:highlight w:val="cyan"/>
          <w:u w:val="single"/>
        </w:rPr>
        <w:t>well established</w:t>
      </w:r>
      <w:r>
        <w:rPr>
          <w:b/>
          <w:i w:val="0"/>
          <w:smallCaps w:val="0"/>
          <w:strike w:val="0"/>
          <w:sz w:val="22"/>
          <w:highlight w:val="cyan"/>
          <w:u w:val="single"/>
        </w:rPr>
        <w:t xml:space="preserve"> that </w:t>
      </w:r>
      <w:r>
        <w:rPr>
          <w:b/>
          <w:i w:val="0"/>
          <w:smallCaps w:val="0"/>
          <w:strike w:val="0"/>
          <w:sz w:val="22"/>
          <w:highlight w:val="cyan"/>
          <w:u w:val="single"/>
        </w:rPr>
        <w:t>Congress</w:t>
      </w:r>
      <w:r>
        <w:rPr>
          <w:b/>
          <w:i w:val="0"/>
          <w:smallCaps w:val="0"/>
          <w:strike w:val="0"/>
          <w:sz w:val="22"/>
          <w:highlight w:val="cyan"/>
          <w:u w:val="single"/>
        </w:rPr>
        <w:t xml:space="preserve"> holds </w:t>
      </w:r>
      <w:r>
        <w:rPr>
          <w:b/>
          <w:i w:val="0"/>
          <w:smallCaps w:val="0"/>
          <w:strike w:val="0"/>
          <w:sz w:val="22"/>
          <w:u w:val="single"/>
        </w:rPr>
        <w:t xml:space="preserve">great </w:t>
      </w:r>
      <w:r>
        <w:rPr>
          <w:b/>
          <w:i w:val="0"/>
          <w:smallCaps w:val="0"/>
          <w:strike w:val="0"/>
          <w:sz w:val="22"/>
          <w:highlight w:val="cyan"/>
          <w:u w:val="single"/>
        </w:rPr>
        <w:t>influence</w:t>
      </w:r>
      <w:r>
        <w:rPr>
          <w:b/>
          <w:i w:val="0"/>
          <w:smallCaps w:val="0"/>
          <w:strike w:val="0"/>
          <w:sz w:val="22"/>
          <w:highlight w:val="cyan"/>
          <w:u w:val="single"/>
        </w:rPr>
        <w:t xml:space="preserve"> over the</w:t>
      </w:r>
      <w:r>
        <w:rPr>
          <w:b/>
          <w:i w:val="0"/>
          <w:smallCaps w:val="0"/>
          <w:strike w:val="0"/>
          <w:sz w:val="22"/>
          <w:u w:val="single"/>
        </w:rPr>
        <w:t xml:space="preserve"> Supreme </w:t>
      </w:r>
      <w:r>
        <w:rPr>
          <w:b/>
          <w:i w:val="0"/>
          <w:smallCaps w:val="0"/>
          <w:strike w:val="0"/>
          <w:sz w:val="22"/>
          <w:highlight w:val="cyan"/>
          <w:u w:val="single"/>
        </w:rPr>
        <w:t>Court</w:t>
      </w:r>
      <w:r>
        <w:rPr>
          <w:b/>
          <w:i w:val="0"/>
          <w:smallCaps w:val="0"/>
          <w:strike w:val="0"/>
          <w:sz w:val="22"/>
          <w:u w:val="single"/>
        </w:rPr>
        <w:t xml:space="preserve"> and</w:t>
      </w:r>
      <w:r>
        <w:rPr>
          <w:b w:val="0"/>
          <w:i w:val="0"/>
          <w:smallCaps w:val="0"/>
          <w:strike w:val="0"/>
          <w:sz w:val="16"/>
          <w:u w:val="none"/>
        </w:rPr>
        <w:t xml:space="preserve"> that </w:t>
      </w:r>
      <w:r>
        <w:rPr>
          <w:b/>
          <w:i w:val="0"/>
          <w:smallCaps w:val="0"/>
          <w:strike w:val="0"/>
          <w:sz w:val="22"/>
          <w:highlight w:val="cyan"/>
          <w:u w:val="single"/>
        </w:rPr>
        <w:t>the</w:t>
      </w:r>
      <w:r>
        <w:rPr>
          <w:b w:val="0"/>
          <w:i w:val="0"/>
          <w:smallCaps w:val="0"/>
          <w:strike w:val="0"/>
          <w:sz w:val="16"/>
          <w:u w:val="none"/>
        </w:rPr>
        <w:t xml:space="preserve"> Supreme </w:t>
      </w:r>
      <w:r>
        <w:rPr>
          <w:b/>
          <w:i w:val="0"/>
          <w:smallCaps w:val="0"/>
          <w:strike w:val="0"/>
          <w:sz w:val="22"/>
          <w:highlight w:val="cyan"/>
          <w:u w:val="single"/>
        </w:rPr>
        <w:t xml:space="preserve">Court </w:t>
      </w:r>
      <w:r>
        <w:rPr>
          <w:b/>
          <w:i w:val="0"/>
          <w:smallCaps w:val="0"/>
          <w:strike w:val="0"/>
          <w:sz w:val="22"/>
          <w:highlight w:val="cyan"/>
          <w:u w:val="single"/>
        </w:rPr>
        <w:t>acts strategically</w:t>
      </w:r>
      <w:r>
        <w:rPr>
          <w:b/>
          <w:i w:val="0"/>
          <w:smallCaps w:val="0"/>
          <w:strike w:val="0"/>
          <w:sz w:val="22"/>
          <w:highlight w:val="cyan"/>
          <w:u w:val="single"/>
        </w:rPr>
        <w:t xml:space="preserve"> to prevent</w:t>
      </w:r>
      <w:r>
        <w:rPr>
          <w:b/>
          <w:i w:val="0"/>
          <w:smallCaps w:val="0"/>
          <w:strike w:val="0"/>
          <w:sz w:val="22"/>
          <w:u w:val="single"/>
        </w:rPr>
        <w:t xml:space="preserve"> Congressional </w:t>
      </w:r>
      <w:r>
        <w:rPr>
          <w:b/>
          <w:i w:val="0"/>
          <w:smallCaps w:val="0"/>
          <w:strike w:val="0"/>
          <w:sz w:val="22"/>
          <w:u w:val="single"/>
        </w:rPr>
        <w:t>Court-</w:t>
      </w:r>
      <w:r>
        <w:rPr>
          <w:b/>
          <w:i w:val="0"/>
          <w:smallCaps w:val="0"/>
          <w:strike w:val="0"/>
          <w:sz w:val="22"/>
          <w:highlight w:val="cyan"/>
          <w:u w:val="single"/>
        </w:rPr>
        <w:t>curbing</w:t>
      </w:r>
      <w:r>
        <w:rPr>
          <w:b w:val="0"/>
          <w:i w:val="0"/>
          <w:smallCaps w:val="0"/>
          <w:strike w:val="0"/>
          <w:sz w:val="16"/>
          <w:u w:val="none"/>
        </w:rPr>
        <w:t xml:space="preserve"> (Clark, 2009). What remains a mystery, however</w:t>
      </w:r>
      <w:r>
        <w:rPr>
          <w:b w:val="0"/>
          <w:i w:val="0"/>
          <w:smallCaps w:val="0"/>
          <w:strike w:val="0"/>
          <w:sz w:val="16"/>
          <w:u w:val="none"/>
        </w:rPr>
        <w:t xml:space="preserve">, is leads Members of Congress to propose Court-curbing legislation, as the academic literature is largely silent on this matter. This paper seeks to answer this question and proposes that Court-curbing legislation is a result of ideological divergences between members of Congress and the Court in addition to a Congressional response to an inherent and intentional institutional rivalry. </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