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Differing</w:t>
      </w:r>
      <w:r>
        <w:rPr>
          <w:b/>
          <w:i w:val="0"/>
          <w:smallCaps w:val="0"/>
          <w:strike w:val="0"/>
          <w:sz w:val="26"/>
          <w:u w:val="none"/>
        </w:rPr>
        <w:t xml:space="preserve"> views are key---the Court will be more concerned about backlash and will </w:t>
      </w:r>
      <w:r>
        <w:rPr>
          <w:b/>
          <w:i w:val="0"/>
          <w:smallCaps w:val="0"/>
          <w:strike w:val="0"/>
          <w:sz w:val="26"/>
          <w:u w:val="none"/>
        </w:rPr>
        <w:t>adjust</w:t>
      </w:r>
      <w:r>
        <w:rPr>
          <w:b/>
          <w:i w:val="0"/>
          <w:smallCaps w:val="0"/>
          <w:strike w:val="0"/>
          <w:sz w:val="26"/>
          <w:u w:val="none"/>
        </w:rPr>
        <w:t xml:space="preserve"> its behavior. </w:t>
      </w:r>
    </w:p>
    <w:p>
      <w:pPr>
        <w:spacing w:after="80"/>
      </w:pPr>
      <w:r>
        <w:rPr>
          <w:b/>
          <w:i w:val="0"/>
          <w:smallCaps w:val="0"/>
          <w:strike w:val="0"/>
          <w:sz w:val="26"/>
          <w:u w:val="none"/>
        </w:rPr>
        <w:t xml:space="preserve">Mark </w:t>
      </w:r>
      <w:r>
        <w:rPr>
          <w:b/>
          <w:i w:val="0"/>
          <w:smallCaps w:val="0"/>
          <w:strike w:val="0"/>
          <w:sz w:val="26"/>
          <w:u w:val="none"/>
        </w:rPr>
        <w:t>and Zilis 18</w:t>
      </w:r>
      <w:r>
        <w:rPr>
          <w:b w:val="0"/>
          <w:i w:val="0"/>
          <w:smallCaps w:val="0"/>
          <w:strike w:val="0"/>
          <w:u w:val="none"/>
        </w:rPr>
        <w:t xml:space="preserve"> Alyx Mark is a government professor at Wesleyan University. Michael Zilis is a political science professor at the University of Kentucky. (“Restraining the Court: Assessing Accounts of Congressional Attempts to Limit Supreme Court Authority”, 2018, </w:t>
      </w:r>
      <w:r>
        <w:rPr>
          <w:b w:val="0"/>
          <w:i w:val="0"/>
          <w:smallCaps w:val="0"/>
          <w:strike w:val="0"/>
          <w:u w:val="none"/>
        </w:rPr>
        <w:t>https://onlinelibrary.wiley.com/doi/abs/10.1111/lsq.12187</w:t>
      </w:r>
      <w:r>
        <w:rPr>
          <w:b w:val="0"/>
          <w:i w:val="0"/>
          <w:smallCaps w:val="0"/>
          <w:strike w:val="0"/>
          <w:u w:val="none"/>
        </w:rPr>
        <w:t>)//AN</w:t>
      </w:r>
    </w:p>
    <w:p>
      <w:pPr>
        <w:spacing w:after="60"/>
      </w:pPr>
      <w:r>
        <w:rPr>
          <w:b w:val="0"/>
          <w:i w:val="0"/>
          <w:smallCaps w:val="0"/>
          <w:strike w:val="0"/>
          <w:sz w:val="16"/>
          <w:u w:val="none"/>
        </w:rPr>
        <w:t xml:space="preserve">We also argue that our assessment of competing accounts should consider lawmakers’ calculations about the likelihood their messaging behavior leads to change on the part of the Court. In other words, individual lawmakers may Court curb in order to send messages to the Court itself, attempting to affect its behavior. Our reasoning here is rooted in the calculations that members of the majority make about the value of sending a message to the Court. We argue that </w:t>
      </w:r>
      <w:r>
        <w:rPr>
          <w:b/>
          <w:i w:val="0"/>
          <w:smallCaps w:val="0"/>
          <w:strike w:val="0"/>
          <w:sz w:val="22"/>
          <w:highlight w:val="cyan"/>
          <w:u w:val="single"/>
        </w:rPr>
        <w:t>members</w:t>
      </w:r>
      <w:r>
        <w:rPr>
          <w:b/>
          <w:i w:val="0"/>
          <w:smallCaps w:val="0"/>
          <w:strike w:val="0"/>
          <w:sz w:val="22"/>
          <w:u w:val="single"/>
        </w:rPr>
        <w:t xml:space="preserve"> of the majority have </w:t>
      </w:r>
      <w:r>
        <w:rPr>
          <w:b/>
          <w:i w:val="0"/>
          <w:smallCaps w:val="0"/>
          <w:strike w:val="0"/>
          <w:sz w:val="22"/>
          <w:highlight w:val="cyan"/>
          <w:u w:val="single"/>
        </w:rPr>
        <w:t xml:space="preserve">a </w:t>
      </w:r>
      <w:r>
        <w:rPr>
          <w:b/>
          <w:i w:val="0"/>
          <w:smallCaps w:val="0"/>
          <w:strike w:val="0"/>
          <w:sz w:val="22"/>
          <w:highlight w:val="cyan"/>
          <w:u w:val="single"/>
        </w:rPr>
        <w:t>stronger incentive</w:t>
      </w:r>
      <w:r>
        <w:rPr>
          <w:b/>
          <w:i w:val="0"/>
          <w:smallCaps w:val="0"/>
          <w:strike w:val="0"/>
          <w:sz w:val="22"/>
          <w:highlight w:val="cyan"/>
          <w:u w:val="single"/>
        </w:rPr>
        <w:t xml:space="preserve"> to Court </w:t>
      </w:r>
      <w:r>
        <w:rPr>
          <w:b/>
          <w:i w:val="0"/>
          <w:smallCaps w:val="0"/>
          <w:strike w:val="0"/>
          <w:sz w:val="22"/>
          <w:highlight w:val="cyan"/>
          <w:u w:val="single"/>
        </w:rPr>
        <w:t>curb</w:t>
      </w:r>
      <w:r>
        <w:rPr>
          <w:b/>
          <w:i w:val="0"/>
          <w:smallCaps w:val="0"/>
          <w:strike w:val="0"/>
          <w:sz w:val="22"/>
          <w:highlight w:val="cyan"/>
          <w:u w:val="single"/>
        </w:rPr>
        <w:t xml:space="preserve"> when their party is </w:t>
      </w:r>
      <w:r>
        <w:rPr>
          <w:b/>
          <w:i w:val="0"/>
          <w:smallCaps w:val="0"/>
          <w:strike w:val="0"/>
          <w:sz w:val="22"/>
          <w:highlight w:val="cyan"/>
          <w:u w:val="single"/>
        </w:rPr>
        <w:t>distant</w:t>
      </w:r>
      <w:r>
        <w:rPr>
          <w:b/>
          <w:i w:val="0"/>
          <w:smallCaps w:val="0"/>
          <w:strike w:val="0"/>
          <w:sz w:val="22"/>
          <w:highlight w:val="cyan"/>
          <w:u w:val="single"/>
        </w:rPr>
        <w:t xml:space="preserve"> from the Court</w:t>
      </w:r>
      <w:r>
        <w:rPr>
          <w:b/>
          <w:i w:val="0"/>
          <w:smallCaps w:val="0"/>
          <w:strike w:val="0"/>
          <w:sz w:val="22"/>
          <w:u w:val="single"/>
        </w:rPr>
        <w:t xml:space="preserve"> because their </w:t>
      </w:r>
      <w:r>
        <w:rPr>
          <w:b/>
          <w:i w:val="0"/>
          <w:smallCaps w:val="0"/>
          <w:strike w:val="0"/>
          <w:sz w:val="22"/>
          <w:u w:val="single"/>
        </w:rPr>
        <w:t>proposals</w:t>
      </w:r>
      <w:r>
        <w:rPr>
          <w:b w:val="0"/>
          <w:i w:val="0"/>
          <w:smallCaps w:val="0"/>
          <w:strike w:val="0"/>
          <w:sz w:val="16"/>
          <w:u w:val="none"/>
        </w:rPr>
        <w:t xml:space="preserve">, as opposed to ones from the minority party, </w:t>
      </w:r>
      <w:r>
        <w:rPr>
          <w:b/>
          <w:i w:val="0"/>
          <w:smallCaps w:val="0"/>
          <w:strike w:val="0"/>
          <w:sz w:val="22"/>
          <w:u w:val="single"/>
        </w:rPr>
        <w:t xml:space="preserve">are more likely to </w:t>
      </w:r>
      <w:r>
        <w:rPr>
          <w:b/>
          <w:i w:val="0"/>
          <w:smallCaps w:val="0"/>
          <w:strike w:val="0"/>
          <w:sz w:val="22"/>
          <w:u w:val="single"/>
        </w:rPr>
        <w:t>reach the floor</w:t>
      </w:r>
      <w:r>
        <w:rPr>
          <w:b/>
          <w:i w:val="0"/>
          <w:smallCaps w:val="0"/>
          <w:strike w:val="0"/>
          <w:sz w:val="22"/>
          <w:u w:val="single"/>
        </w:rPr>
        <w:t xml:space="preserve"> </w:t>
      </w:r>
      <w:r>
        <w:rPr>
          <w:b w:val="0"/>
          <w:i w:val="0"/>
          <w:smallCaps w:val="0"/>
          <w:strike w:val="0"/>
          <w:sz w:val="16"/>
          <w:u w:val="none"/>
        </w:rPr>
        <w:t xml:space="preserve">(Anderson, Box-Steffensmeier, and Sinclair-Chapman 2003; Cox and McCubbins 2002).6 Since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highlight w:val="cyan"/>
          <w:u w:val="single"/>
        </w:rPr>
        <w:t>Court is</w:t>
      </w:r>
      <w:r>
        <w:rPr>
          <w:b w:val="0"/>
          <w:i w:val="0"/>
          <w:smallCaps w:val="0"/>
          <w:strike w:val="0"/>
          <w:sz w:val="16"/>
          <w:u w:val="none"/>
        </w:rPr>
        <w:t xml:space="preserve"> particularly </w:t>
      </w:r>
      <w:r>
        <w:rPr>
          <w:b/>
          <w:i w:val="0"/>
          <w:smallCaps w:val="0"/>
          <w:strike w:val="0"/>
          <w:sz w:val="22"/>
          <w:highlight w:val="cyan"/>
          <w:u w:val="single"/>
        </w:rPr>
        <w:t>concerned</w:t>
      </w:r>
      <w:r>
        <w:rPr>
          <w:b/>
          <w:i w:val="0"/>
          <w:smallCaps w:val="0"/>
          <w:strike w:val="0"/>
          <w:sz w:val="22"/>
          <w:highlight w:val="cyan"/>
          <w:u w:val="single"/>
        </w:rPr>
        <w:t xml:space="preserve"> about</w:t>
      </w:r>
      <w:r>
        <w:rPr>
          <w:b/>
          <w:i w:val="0"/>
          <w:smallCaps w:val="0"/>
          <w:strike w:val="0"/>
          <w:sz w:val="22"/>
          <w:u w:val="single"/>
        </w:rPr>
        <w:t xml:space="preserve"> attention-generating </w:t>
      </w:r>
      <w:r>
        <w:rPr>
          <w:b/>
          <w:i w:val="0"/>
          <w:smallCaps w:val="0"/>
          <w:strike w:val="0"/>
          <w:sz w:val="22"/>
          <w:highlight w:val="cyan"/>
          <w:u w:val="single"/>
        </w:rPr>
        <w:t>proposals</w:t>
      </w:r>
      <w:r>
        <w:rPr>
          <w:b/>
          <w:i w:val="0"/>
          <w:smallCaps w:val="0"/>
          <w:strike w:val="0"/>
          <w:sz w:val="22"/>
          <w:highlight w:val="cyan"/>
          <w:u w:val="single"/>
        </w:rPr>
        <w:t>, which spark</w:t>
      </w:r>
      <w:r>
        <w:rPr>
          <w:b/>
          <w:i w:val="0"/>
          <w:smallCaps w:val="0"/>
          <w:strike w:val="0"/>
          <w:sz w:val="22"/>
          <w:u w:val="single"/>
        </w:rPr>
        <w:t xml:space="preserve"> widespread </w:t>
      </w:r>
      <w:r>
        <w:rPr>
          <w:b/>
          <w:i w:val="0"/>
          <w:smallCaps w:val="0"/>
          <w:strike w:val="0"/>
          <w:sz w:val="22"/>
          <w:highlight w:val="cyan"/>
          <w:u w:val="single"/>
        </w:rPr>
        <w:t>backlash</w:t>
      </w:r>
      <w:r>
        <w:rPr>
          <w:b w:val="0"/>
          <w:i w:val="0"/>
          <w:smallCaps w:val="0"/>
          <w:strike w:val="0"/>
          <w:sz w:val="16"/>
          <w:u w:val="none"/>
        </w:rPr>
        <w:t xml:space="preserve"> against the institution (Clark 2011, 77), majority-initiated proposals represent more credible threats to the Court's support due to majority-party agenda control. In other words, members of the majority party have an additional incentive to ramp up their threats against a distant Court because </w:t>
      </w:r>
      <w:r>
        <w:rPr>
          <w:b/>
          <w:i w:val="0"/>
          <w:smallCaps w:val="0"/>
          <w:strike w:val="0"/>
          <w:sz w:val="22"/>
          <w:highlight w:val="cyan"/>
          <w:u w:val="single"/>
        </w:rPr>
        <w:t xml:space="preserve">the </w:t>
      </w:r>
      <w:r>
        <w:rPr>
          <w:b/>
          <w:i w:val="0"/>
          <w:smallCaps w:val="0"/>
          <w:strike w:val="0"/>
          <w:sz w:val="22"/>
          <w:highlight w:val="cyan"/>
          <w:u w:val="single"/>
        </w:rPr>
        <w:t>judiciary</w:t>
      </w:r>
      <w:r>
        <w:rPr>
          <w:b/>
          <w:i w:val="0"/>
          <w:smallCaps w:val="0"/>
          <w:strike w:val="0"/>
          <w:sz w:val="22"/>
          <w:highlight w:val="cyan"/>
          <w:u w:val="single"/>
        </w:rPr>
        <w:t xml:space="preserve"> sees threats</w:t>
      </w:r>
      <w:r>
        <w:rPr>
          <w:b/>
          <w:i w:val="0"/>
          <w:smallCaps w:val="0"/>
          <w:strike w:val="0"/>
          <w:sz w:val="22"/>
          <w:u w:val="single"/>
        </w:rPr>
        <w:t xml:space="preserve"> from the </w:t>
      </w:r>
      <w:r>
        <w:rPr>
          <w:b/>
          <w:i w:val="0"/>
          <w:smallCaps w:val="0"/>
          <w:strike w:val="0"/>
          <w:sz w:val="22"/>
          <w:u w:val="single"/>
        </w:rPr>
        <w:t>majority</w:t>
      </w:r>
      <w:r>
        <w:rPr>
          <w:b/>
          <w:i w:val="0"/>
          <w:smallCaps w:val="0"/>
          <w:strike w:val="0"/>
          <w:sz w:val="22"/>
          <w:u w:val="single"/>
        </w:rPr>
        <w:t xml:space="preserve"> </w:t>
      </w:r>
      <w:r>
        <w:rPr>
          <w:b/>
          <w:i w:val="0"/>
          <w:smallCaps w:val="0"/>
          <w:strike w:val="0"/>
          <w:sz w:val="22"/>
          <w:highlight w:val="cyan"/>
          <w:u w:val="single"/>
        </w:rPr>
        <w:t xml:space="preserve">as more </w:t>
      </w:r>
      <w:r>
        <w:rPr>
          <w:b/>
          <w:i w:val="0"/>
          <w:smallCaps w:val="0"/>
          <w:strike w:val="0"/>
          <w:sz w:val="22"/>
          <w:highlight w:val="cyan"/>
          <w:u w:val="single"/>
        </w:rPr>
        <w:t>credible</w:t>
      </w:r>
      <w:r>
        <w:rPr>
          <w:b/>
          <w:i w:val="0"/>
          <w:smallCaps w:val="0"/>
          <w:strike w:val="0"/>
          <w:sz w:val="22"/>
          <w:highlight w:val="cyan"/>
          <w:u w:val="single"/>
        </w:rPr>
        <w:t>, making it</w:t>
      </w:r>
      <w:r>
        <w:rPr>
          <w:b/>
          <w:i w:val="0"/>
          <w:smallCaps w:val="0"/>
          <w:strike w:val="0"/>
          <w:sz w:val="22"/>
          <w:u w:val="single"/>
        </w:rPr>
        <w:t xml:space="preserve"> more </w:t>
      </w:r>
      <w:r>
        <w:rPr>
          <w:b/>
          <w:i w:val="0"/>
          <w:smallCaps w:val="0"/>
          <w:strike w:val="0"/>
          <w:sz w:val="22"/>
          <w:highlight w:val="cyan"/>
          <w:u w:val="single"/>
        </w:rPr>
        <w:t>likely</w:t>
      </w:r>
      <w:r>
        <w:rPr>
          <w:b/>
          <w:i w:val="0"/>
          <w:smallCaps w:val="0"/>
          <w:strike w:val="0"/>
          <w:sz w:val="22"/>
          <w:u w:val="single"/>
        </w:rPr>
        <w:t xml:space="preserve"> that </w:t>
      </w:r>
      <w:r>
        <w:rPr>
          <w:b/>
          <w:i w:val="0"/>
          <w:smallCaps w:val="0"/>
          <w:strike w:val="0"/>
          <w:sz w:val="22"/>
          <w:highlight w:val="cyan"/>
          <w:u w:val="single"/>
        </w:rPr>
        <w:t xml:space="preserve">it will </w:t>
      </w:r>
      <w:r>
        <w:rPr>
          <w:b/>
          <w:i w:val="0"/>
          <w:smallCaps w:val="0"/>
          <w:strike w:val="0"/>
          <w:sz w:val="22"/>
          <w:highlight w:val="cyan"/>
          <w:u w:val="single"/>
        </w:rPr>
        <w:t>adjust</w:t>
      </w:r>
      <w:r>
        <w:rPr>
          <w:b/>
          <w:i w:val="0"/>
          <w:smallCaps w:val="0"/>
          <w:strike w:val="0"/>
          <w:sz w:val="22"/>
          <w:highlight w:val="cyan"/>
          <w:u w:val="single"/>
        </w:rPr>
        <w:t xml:space="preserve"> its behavior</w:t>
      </w:r>
      <w:r>
        <w:rPr>
          <w:b/>
          <w:i w:val="0"/>
          <w:smallCaps w:val="0"/>
          <w:strike w:val="0"/>
          <w:sz w:val="22"/>
          <w:u w:val="single"/>
        </w:rPr>
        <w:t xml:space="preserve"> as a result.</w:t>
      </w:r>
      <w:r>
        <w:rPr>
          <w:b w:val="0"/>
          <w:i w:val="0"/>
          <w:smallCaps w:val="0"/>
          <w:strike w:val="0"/>
          <w:sz w:val="16"/>
          <w:u w:val="none"/>
        </w:rPr>
        <w:t xml:space="preserve"> We posit that majority-party members are comparatively more likely to Court curb than minority members when their party is distant from the Court due to the fact that </w:t>
      </w:r>
      <w:r>
        <w:rPr>
          <w:b/>
          <w:i w:val="0"/>
          <w:smallCaps w:val="0"/>
          <w:strike w:val="0"/>
          <w:sz w:val="22"/>
          <w:u w:val="single"/>
        </w:rPr>
        <w:t xml:space="preserve">the institution perceives these </w:t>
      </w:r>
      <w:r>
        <w:rPr>
          <w:b/>
          <w:i w:val="0"/>
          <w:smallCaps w:val="0"/>
          <w:strike w:val="0"/>
          <w:sz w:val="22"/>
          <w:u w:val="single"/>
        </w:rPr>
        <w:t>majority</w:t>
      </w:r>
      <w:r>
        <w:rPr>
          <w:b/>
          <w:i w:val="0"/>
          <w:smallCaps w:val="0"/>
          <w:strike w:val="0"/>
          <w:sz w:val="22"/>
          <w:u w:val="single"/>
        </w:rPr>
        <w:t xml:space="preserve"> threats as </w:t>
      </w:r>
      <w:r>
        <w:rPr>
          <w:b/>
          <w:i w:val="0"/>
          <w:smallCaps w:val="0"/>
          <w:strike w:val="0"/>
          <w:sz w:val="22"/>
          <w:u w:val="single"/>
        </w:rPr>
        <w:t>more credible</w:t>
      </w:r>
      <w:r>
        <w:rPr>
          <w:b w:val="0"/>
          <w:i w:val="0"/>
          <w:smallCaps w:val="0"/>
          <w:strike w:val="0"/>
          <w:sz w:val="16"/>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