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perm fails---credible threat of override is key.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Hager 16---</w:t>
      </w:r>
      <w:r>
        <w:rPr>
          <w:b w:val="0"/>
          <w:i w:val="0"/>
          <w:smallCaps w:val="0"/>
          <w:strike w:val="0"/>
          <w:u w:val="none"/>
        </w:rPr>
        <w:t xml:space="preserve">Lisa Hager; BA at Wartburg College, MA at Kent State University, and PhD in Political Science. at Kent State University.  "The legal, institutional, and political factors of congressional court-curbing: the purpose and seriousness of attempts to constrain the United States Supreme Court", August 2016, </w:t>
      </w:r>
      <w:r>
        <w:rPr>
          <w:b w:val="0"/>
          <w:i w:val="0"/>
          <w:smallCaps w:val="0"/>
          <w:strike w:val="0"/>
          <w:u w:val="none"/>
        </w:rPr>
        <w:t>https://etd.ohiolink.edu/acprod/odb_etd/ws/send_file/send?accession=kent1468770292&amp;disposition=inline</w:t>
      </w:r>
      <w:r>
        <w:rPr>
          <w:b w:val="0"/>
          <w:i w:val="0"/>
          <w:smallCaps w:val="0"/>
          <w:strike w:val="0"/>
          <w:u w:val="none"/>
        </w:rPr>
        <w:t>)//AN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the example at the beginning of this chapter illustrates,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Congress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can</w:t>
      </w:r>
      <w:r>
        <w:rPr>
          <w:b/>
          <w:i w:val="0"/>
          <w:smallCaps w:val="0"/>
          <w:strike w:val="0"/>
          <w:sz w:val="22"/>
          <w:u w:val="single"/>
        </w:rPr>
        <w:t xml:space="preserve"> and does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attempt to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reverse</w:t>
      </w:r>
      <w:r>
        <w:rPr>
          <w:b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limit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impact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judicial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decisions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(i.e., RFRA) </w:t>
      </w:r>
      <w:r>
        <w:rPr>
          <w:b/>
          <w:i w:val="0"/>
          <w:smallCaps w:val="0"/>
          <w:strike w:val="0"/>
          <w:sz w:val="22"/>
          <w:u w:val="single"/>
        </w:rPr>
        <w:t xml:space="preserve">by enacting </w:t>
      </w:r>
      <w:r>
        <w:rPr>
          <w:b/>
          <w:i w:val="0"/>
          <w:smallCaps w:val="0"/>
          <w:strike w:val="0"/>
          <w:sz w:val="22"/>
          <w:u w:val="single"/>
        </w:rPr>
        <w:t>legislation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when legislators disagree with the ideological content of the ruling (i.e., Oregon v. Smith [1990]) (e.g., Eskridge 1991; Uribe, Spriggs, and Hansford 2014). Since Congress overturns decisions it dislikes, but first attempts to achieve its policy goals and manipulate judicial behavior with Court-curbing legislation (Blackstone 2013; Engel 2011), it is reasonable to assume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the Court views these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bills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as a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credible signal</w:t>
      </w:r>
      <w:r>
        <w:rPr>
          <w:b/>
          <w:i w:val="0"/>
          <w:smallCaps w:val="0"/>
          <w:strike w:val="0"/>
          <w:sz w:val="22"/>
          <w:u w:val="single"/>
        </w:rPr>
        <w:t xml:space="preserve"> of legislative </w:t>
      </w:r>
      <w:r>
        <w:rPr>
          <w:b/>
          <w:i w:val="0"/>
          <w:smallCaps w:val="0"/>
          <w:strike w:val="0"/>
          <w:sz w:val="22"/>
          <w:u w:val="single"/>
        </w:rPr>
        <w:t>overrides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Numerous studies have documented that the justices engage in strategic decision-making to prevent Congress from reversing its rulings and erasing the Court’s impact on public policy (e.g., Bergara, Richman, and Spiller 2003; Eskridge 1991; Spiller and </w:t>
      </w:r>
      <w:r>
        <w:rPr>
          <w:b w:val="0"/>
          <w:i w:val="0"/>
          <w:smallCaps w:val="0"/>
          <w:strike w:val="0"/>
          <w:sz w:val="16"/>
          <w:u w:val="none"/>
        </w:rPr>
        <w:t>Gely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1992). Since the Court actively avoids overrides when congressional preferences are vastly different from those of the justices, it is plausible that the justices respond to Court-curbing legislation in a similar fashion.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This leads to the second research question relating to when Court-curbing bills cause changes in judicial behavior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Court-curbing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legislation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as a credible threat to the Court’s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influence</w:t>
      </w:r>
      <w:r>
        <w:rPr>
          <w:b/>
          <w:i w:val="0"/>
          <w:smallCaps w:val="0"/>
          <w:strike w:val="0"/>
          <w:sz w:val="22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u w:val="single"/>
        </w:rPr>
        <w:t>public policy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relies on Congress’s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ability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override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decisions if</w:t>
      </w:r>
      <w:r>
        <w:rPr>
          <w:b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bills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do not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elicit</w:t>
      </w:r>
      <w:r>
        <w:rPr>
          <w:b/>
          <w:i w:val="0"/>
          <w:smallCaps w:val="0"/>
          <w:strike w:val="0"/>
          <w:sz w:val="22"/>
          <w:u w:val="single"/>
        </w:rPr>
        <w:t xml:space="preserve"> judicial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deference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to legislative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preferences</w:t>
      </w:r>
      <w:r>
        <w:rPr>
          <w:b w:val="0"/>
          <w:i w:val="0"/>
          <w:smallCaps w:val="0"/>
          <w:strike w:val="0"/>
          <w:sz w:val="16"/>
          <w:u w:val="none"/>
        </w:rPr>
        <w:t>. Thus, it is probable that the Court does not respond to Court-curbing bills during periods of legislative gridlock when it is unlikely Congress will be able to enact legislation to overturn a given decision. In order to understand the conditions under which the relationship between Congress and the Court is dictated by the public policy preferences of each during periods of Court-curbing bill sponsorship, the next section will 6 discuss the assumptions underlying the behavior of each branch and the relevant theoretical frameworks that can be used to explain Court-Congress relations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