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Curbing is effective when the court and congress are ideologically divergent.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Marino 12</w:t>
      </w:r>
      <w:r>
        <w:rPr>
          <w:b w:val="0"/>
          <w:i w:val="0"/>
          <w:smallCaps w:val="0"/>
          <w:strike w:val="0"/>
          <w:u w:val="none"/>
        </w:rPr>
        <w:t xml:space="preserve">---Philip Marino, Department of Political Science (“Court-Curbing: Why and When Members of Congress Seek to Harm the Supreme Court”, Spring 2012, </w:t>
      </w:r>
      <w:r>
        <w:rPr>
          <w:b w:val="0"/>
          <w:i w:val="0"/>
          <w:smallCaps w:val="0"/>
          <w:strike w:val="0"/>
          <w:u w:val="none"/>
        </w:rPr>
        <w:t>https://diginole.lib.fsu.edu/islandora/object/fsu:204477/datastream/PDF/view</w:t>
      </w:r>
      <w:r>
        <w:rPr>
          <w:b w:val="0"/>
          <w:i w:val="0"/>
          <w:smallCaps w:val="0"/>
          <w:strike w:val="0"/>
          <w:u w:val="none"/>
        </w:rPr>
        <w:t>)//AN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most obvious and understandable explanation for the proposition of Court-curbing legislation is that members of Congress are more likely to propose such legislation as their own ideology diverges from that of the Court.1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Members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Congress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will</w:t>
      </w:r>
      <w:r>
        <w:rPr>
          <w:b/>
          <w:i w:val="0"/>
          <w:smallCaps w:val="0"/>
          <w:strike w:val="0"/>
          <w:sz w:val="22"/>
          <w:u w:val="single"/>
        </w:rPr>
        <w:t xml:space="preserve"> inherently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attempt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 pursue their </w:t>
      </w:r>
      <w:r>
        <w:rPr>
          <w:b/>
          <w:i w:val="0"/>
          <w:smallCaps w:val="0"/>
          <w:strike w:val="0"/>
          <w:sz w:val="22"/>
          <w:u w:val="single"/>
        </w:rPr>
        <w:t>own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ideological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interest and oppose</w:t>
      </w:r>
      <w:r>
        <w:rPr>
          <w:b/>
          <w:i w:val="0"/>
          <w:smallCaps w:val="0"/>
          <w:strike w:val="0"/>
          <w:sz w:val="22"/>
          <w:u w:val="single"/>
        </w:rPr>
        <w:t xml:space="preserve"> those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interests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which run counter to 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</w:t>
      </w:r>
      <w:r>
        <w:rPr>
          <w:b w:val="0"/>
          <w:i w:val="0"/>
          <w:smallCaps w:val="0"/>
          <w:strike w:val="0"/>
          <w:sz w:val="16"/>
          <w:u w:val="none"/>
        </w:rPr>
        <w:t>Meernik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Ignagni, 1995). Therefore,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members</w:t>
      </w:r>
      <w:r>
        <w:rPr>
          <w:b/>
          <w:i w:val="0"/>
          <w:smallCaps w:val="0"/>
          <w:strike w:val="0"/>
          <w:sz w:val="22"/>
          <w:u w:val="single"/>
        </w:rPr>
        <w:t xml:space="preserve"> of Congress are </w:t>
      </w:r>
      <w:r>
        <w:rPr>
          <w:b/>
          <w:i w:val="0"/>
          <w:smallCaps w:val="0"/>
          <w:strike w:val="0"/>
          <w:sz w:val="22"/>
          <w:u w:val="single"/>
        </w:rPr>
        <w:t>more likely</w:t>
      </w:r>
      <w:r>
        <w:rPr>
          <w:b/>
          <w:i w:val="0"/>
          <w:smallCaps w:val="0"/>
          <w:strike w:val="0"/>
          <w:sz w:val="22"/>
          <w:u w:val="single"/>
        </w:rPr>
        <w:t xml:space="preserve"> to attempt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curb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th</w:t>
      </w:r>
      <w:r>
        <w:rPr>
          <w:b/>
          <w:i w:val="0"/>
          <w:smallCaps w:val="0"/>
          <w:strike w:val="0"/>
          <w:sz w:val="22"/>
          <w:u w:val="single"/>
        </w:rPr>
        <w:t xml:space="preserve">e Supreme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Court when the Court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ideologically opposed</w:t>
      </w:r>
      <w:r>
        <w:rPr>
          <w:b/>
          <w:i w:val="0"/>
          <w:smallCaps w:val="0"/>
          <w:strike w:val="0"/>
          <w:sz w:val="22"/>
          <w:u w:val="single"/>
        </w:rPr>
        <w:t xml:space="preserve"> to them</w:t>
      </w:r>
      <w:r>
        <w:rPr>
          <w:b w:val="0"/>
          <w:i w:val="0"/>
          <w:smallCaps w:val="0"/>
          <w:strike w:val="0"/>
          <w:sz w:val="16"/>
          <w:u w:val="none"/>
        </w:rPr>
        <w:t>. This does not mean that a member of Congress will necessarily react to individual Court decisions that involve opposing ideological rhetoric – although they very well may, but that is a different research question; rather, it means that members of Congress are more likely to contest and curb a Court that they perceive as ideologically opposed in general (Henschen, 1982). In other words, no action on the part of the Court is necessary to bring about Court-curbing proposals; if the Court as a whole simply possesses ideological opinions that are divergent from a particular member of Congress it is more likely that that member of Congress will propose Court-curbing legislation.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relationship is the result of fairly typical and common political behavior. When two institutions – or even individuals – are ideologically opposed and routinely in competition over policy preferences, it is likely that they will seek to curb the other and bolster their own </w:t>
      </w:r>
      <w:r>
        <w:rPr>
          <w:b w:val="0"/>
          <w:i w:val="0"/>
          <w:smallCaps w:val="0"/>
          <w:strike w:val="0"/>
          <w:sz w:val="16"/>
          <w:u w:val="none"/>
        </w:rPr>
        <w:t>policysetting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capacity. This behavior is a straightforward attempt at achieving a greater likelihood of obtaining policy preferences in the future, by way of weakening a rival in the present.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Members</w:t>
      </w:r>
      <w:r>
        <w:rPr>
          <w:b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Congress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will seek to curb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ideologically divergent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Court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frequently than they would an ideologically allied Court. However, it is not the case that ideological alignment is sufficient to prevent all efforts of individual level court-curbing, although it is arguably necessary. It is also the case that ideological divergence is not the same as party divergence. The Supreme Court is not dominated – or even substantially affected – by party politics or “party lines” and is therefore not likely to draw the wrath of Congresspersons simply as a result of party differences (Howard and Segal, 2004; Bartels, 2011).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Ideology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,</w:t>
      </w:r>
      <w:r>
        <w:rPr>
          <w:b/>
          <w:i w:val="0"/>
          <w:smallCaps w:val="0"/>
          <w:strike w:val="0"/>
          <w:sz w:val="22"/>
          <w:u w:val="single"/>
        </w:rPr>
        <w:t xml:space="preserve"> on the other hand,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has a clear</w:t>
      </w:r>
      <w:r>
        <w:rPr>
          <w:b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 xml:space="preserve">powerful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effect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over how the</w:t>
      </w:r>
      <w:r>
        <w:rPr>
          <w:b/>
          <w:i w:val="0"/>
          <w:smallCaps w:val="0"/>
          <w:strike w:val="0"/>
          <w:sz w:val="22"/>
          <w:u w:val="single"/>
        </w:rPr>
        <w:t xml:space="preserve"> Supreme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Court </w:t>
      </w:r>
      <w:r>
        <w:rPr>
          <w:b/>
          <w:i w:val="0"/>
          <w:smallCaps w:val="0"/>
          <w:strike w:val="0"/>
          <w:sz w:val="22"/>
          <w:u w:val="single"/>
        </w:rPr>
        <w:t>chooses</w:t>
      </w:r>
      <w:r>
        <w:rPr>
          <w:b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decides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cases</w:t>
      </w:r>
      <w:r>
        <w:rPr>
          <w:b/>
          <w:i w:val="0"/>
          <w:smallCaps w:val="0"/>
          <w:strike w:val="0"/>
          <w:sz w:val="22"/>
          <w:u w:val="single"/>
        </w:rPr>
        <w:t xml:space="preserve">, thus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making it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point of</w:t>
      </w:r>
      <w:r>
        <w:rPr>
          <w:b/>
          <w:i w:val="0"/>
          <w:smallCaps w:val="0"/>
          <w:strike w:val="0"/>
          <w:sz w:val="22"/>
          <w:u w:val="single"/>
        </w:rPr>
        <w:t xml:space="preserve"> interest</w:t>
      </w:r>
      <w:r>
        <w:rPr>
          <w:b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worry</w:t>
      </w:r>
      <w:r>
        <w:rPr>
          <w:b/>
          <w:i w:val="0"/>
          <w:smallCaps w:val="0"/>
          <w:strike w:val="0"/>
          <w:sz w:val="22"/>
          <w:u w:val="single"/>
        </w:rPr>
        <w:t xml:space="preserve"> for members of </w:t>
      </w:r>
      <w:r>
        <w:rPr>
          <w:b/>
          <w:i w:val="0"/>
          <w:smallCaps w:val="0"/>
          <w:strike w:val="0"/>
          <w:sz w:val="22"/>
          <w:u w:val="single"/>
        </w:rPr>
        <w:t>Congress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(Howard and Segal, 2004; Lindquist and Solberg, 2007). 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