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dollar is resilient. </w:t>
      </w:r>
      <w:r>
        <w:rPr>
          <w:b w:val="0"/>
          <w:i w:val="0"/>
          <w:smallCaps w:val="0"/>
          <w:strike w:val="0"/>
          <w:sz w:val="26"/>
          <w:u w:val="none"/>
        </w:rPr>
        <w:t>No alternatives.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Cowen 4/13 </w:t>
      </w:r>
      <w:r>
        <w:rPr>
          <w:b w:val="0"/>
          <w:i w:val="0"/>
          <w:smallCaps w:val="0"/>
          <w:strike w:val="0"/>
          <w:u w:val="none"/>
        </w:rPr>
        <w:t xml:space="preserve">[Tyler Cowen is a professor of economics at George Mason University. </w:t>
      </w:r>
      <w:r>
        <w:rPr>
          <w:b w:val="0"/>
          <w:i w:val="0"/>
          <w:smallCaps w:val="0"/>
          <w:strike w:val="0"/>
          <w:u w:val="none"/>
        </w:rPr>
        <w:t>Ph.D</w:t>
      </w:r>
      <w:r>
        <w:rPr>
          <w:b w:val="0"/>
          <w:i w:val="0"/>
          <w:smallCaps w:val="0"/>
          <w:strike w:val="0"/>
          <w:u w:val="none"/>
        </w:rPr>
        <w:t xml:space="preserve"> in economics from Harvard University. “What De-Dollarization? The Dollar Rules the World.” 04-13-23, Accessed 06-21-23, Bloomberg, https://fortune.com/2021/10/07/dollar-hegemony-reserve-currency-threats-to-dominance/ </w:t>
      </w:r>
      <w:r>
        <w:rPr>
          <w:b w:val="0"/>
          <w:i w:val="0"/>
          <w:smallCaps w:val="0"/>
          <w:strike w:val="0"/>
          <w:u w:val="none"/>
        </w:rPr>
        <w:t>mpark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How far is the talk of de-dollarization going to proceed? </w:t>
      </w:r>
      <w:r>
        <w:rPr>
          <w:b/>
          <w:i w:val="0"/>
          <w:smallCaps w:val="0"/>
          <w:strike w:val="0"/>
          <w:u w:val="single"/>
        </w:rPr>
        <w:t>Probably not very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highlight w:val="green"/>
          <w:u w:val="single"/>
        </w:rPr>
        <w:t>US</w:t>
      </w:r>
      <w:r>
        <w:rPr>
          <w:b w:val="0"/>
          <w:i w:val="0"/>
          <w:smallCaps w:val="0"/>
          <w:strike w:val="0"/>
          <w:u w:val="single"/>
        </w:rPr>
        <w:t xml:space="preserve"> has the </w:t>
      </w:r>
      <w:r>
        <w:rPr>
          <w:b/>
          <w:i w:val="0"/>
          <w:smallCaps w:val="0"/>
          <w:strike w:val="0"/>
          <w:highlight w:val="green"/>
          <w:u w:val="single"/>
        </w:rPr>
        <w:t>world’s deepest and most liquid financial markets</w:t>
      </w:r>
      <w:r>
        <w:rPr>
          <w:b w:val="0"/>
          <w:i w:val="0"/>
          <w:smallCaps w:val="0"/>
          <w:strike w:val="0"/>
          <w:u w:val="single"/>
        </w:rPr>
        <w:t xml:space="preserve">, and they </w:t>
      </w:r>
      <w:r>
        <w:rPr>
          <w:b/>
          <w:i w:val="0"/>
          <w:smallCaps w:val="0"/>
          <w:strike w:val="0"/>
          <w:highlight w:val="green"/>
          <w:u w:val="single"/>
        </w:rPr>
        <w:t>remain relatively open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>in spite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restrictions on Chinese investment in industries sensitive for national security. There are strong reasons to have a dominant currency in international markets, just as there are strong reasons for having a dominant currency in domestic transactions within the US. Liquidity for a currency begets further liquidity, whether at home or globally.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With the </w:t>
      </w:r>
      <w:r>
        <w:rPr>
          <w:b/>
          <w:i w:val="0"/>
          <w:smallCaps w:val="0"/>
          <w:strike w:val="0"/>
          <w:highlight w:val="green"/>
          <w:u w:val="single"/>
        </w:rPr>
        <w:t>dollar estimated at 88% of all international transactions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/>
          <w:i w:val="0"/>
          <w:smallCaps w:val="0"/>
          <w:strike w:val="0"/>
          <w:highlight w:val="green"/>
          <w:u w:val="single"/>
        </w:rPr>
        <w:t>euro</w:t>
      </w:r>
      <w:r>
        <w:rPr>
          <w:b/>
          <w:i w:val="0"/>
          <w:smallCaps w:val="0"/>
          <w:strike w:val="0"/>
          <w:u w:val="single"/>
        </w:rPr>
        <w:t xml:space="preserve"> at 31% is </w:t>
      </w:r>
      <w:r>
        <w:rPr>
          <w:b/>
          <w:i w:val="0"/>
          <w:smallCaps w:val="0"/>
          <w:strike w:val="0"/>
          <w:highlight w:val="green"/>
          <w:u w:val="single"/>
        </w:rPr>
        <w:t>only a modest competitor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(since a transaction may involve two currencies, the total may exceed 100%). The euro, unlike the dollar, will never be tied to a single national government, and the European Union does not come close to the military might of the US.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highlight w:val="green"/>
          <w:u w:val="single"/>
        </w:rPr>
        <w:t>yuan is estimated at only 7%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that total of international transactions, and </w:t>
      </w:r>
      <w:r>
        <w:rPr>
          <w:b/>
          <w:i w:val="0"/>
          <w:smallCaps w:val="0"/>
          <w:strike w:val="0"/>
          <w:highlight w:val="green"/>
          <w:u w:val="single"/>
        </w:rPr>
        <w:t>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seems </w:t>
      </w:r>
      <w:r>
        <w:rPr>
          <w:b/>
          <w:i w:val="0"/>
          <w:smallCaps w:val="0"/>
          <w:strike w:val="0"/>
          <w:highlight w:val="green"/>
          <w:u w:val="single"/>
        </w:rPr>
        <w:t xml:space="preserve">unwilling to </w:t>
      </w:r>
      <w:r>
        <w:rPr>
          <w:b/>
          <w:i w:val="0"/>
          <w:smallCaps w:val="0"/>
          <w:strike w:val="0"/>
          <w:highlight w:val="green"/>
          <w:u w:val="single"/>
        </w:rPr>
        <w:t>open up</w:t>
      </w:r>
      <w:r>
        <w:rPr>
          <w:b/>
          <w:i w:val="0"/>
          <w:smallCaps w:val="0"/>
          <w:strike w:val="0"/>
          <w:highlight w:val="green"/>
          <w:u w:val="single"/>
        </w:rPr>
        <w:t xml:space="preserve"> its capital markets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that could lead to rapid capital outflows and possibly a financial crisis. But without open capital markets, </w:t>
      </w:r>
      <w:r>
        <w:rPr>
          <w:b/>
          <w:i w:val="0"/>
          <w:smallCaps w:val="0"/>
          <w:strike w:val="0"/>
          <w:sz w:val="16"/>
          <w:highlight w:val="green"/>
          <w:u w:val="none"/>
        </w:rPr>
        <w:t>the</w:t>
      </w:r>
      <w:r>
        <w:rPr>
          <w:b w:val="0"/>
          <w:i w:val="0"/>
          <w:smallCaps w:val="0"/>
          <w:strike w:val="0"/>
          <w:sz w:val="16"/>
          <w:highlight w:val="green"/>
          <w:u w:val="none"/>
        </w:rPr>
        <w:t xml:space="preserve"> </w:t>
      </w:r>
      <w:r>
        <w:rPr>
          <w:b/>
          <w:i w:val="0"/>
          <w:smallCaps w:val="0"/>
          <w:strike w:val="0"/>
          <w:sz w:val="16"/>
          <w:highlight w:val="green"/>
          <w:u w:val="none"/>
        </w:rPr>
        <w:t>yuan is not a</w:t>
      </w:r>
      <w:r>
        <w:rPr>
          <w:b/>
          <w:i w:val="0"/>
          <w:smallCaps w:val="0"/>
          <w:strike w:val="0"/>
          <w:sz w:val="16"/>
          <w:u w:val="none"/>
        </w:rPr>
        <w:t xml:space="preserve"> strong</w:t>
      </w:r>
      <w:r>
        <w:rPr>
          <w:b/>
          <w:i w:val="0"/>
          <w:smallCaps w:val="0"/>
          <w:strike w:val="0"/>
          <w:sz w:val="16"/>
          <w:highlight w:val="green"/>
          <w:u w:val="none"/>
        </w:rPr>
        <w:t xml:space="preserve"> contender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a global reserve currency.</w:t>
      </w:r>
    </w:p>
    <w:p>
      <w:pPr>
        <w:pStyle w:val="Caption"/>
      </w:pPr>
      <w:r>
        <w:t>Source: Miscellaneous Supplement 1 - Michigan 2024 BEJJKP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