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color w:val="000000"/>
          <w:sz w:val="26"/>
          <w:u w:val="none"/>
        </w:rPr>
        <w:t>Tax evasion funds illicit economies and global terror more widely than e-commerce</w:t>
      </w:r>
    </w:p>
    <w:p>
      <w:pPr>
        <w:spacing w:after="80"/>
      </w:pPr>
      <w:r>
        <w:rPr>
          <w:b/>
          <w:i w:val="0"/>
          <w:smallCaps w:val="0"/>
          <w:strike w:val="0"/>
          <w:color w:val="000000"/>
          <w:sz w:val="26"/>
          <w:u w:val="none"/>
        </w:rPr>
        <w:t xml:space="preserve">Kemsley and Morgan 20 </w:t>
      </w:r>
      <w:r>
        <w:rPr>
          <w:b w:val="0"/>
          <w:i w:val="0"/>
          <w:smallCaps w:val="0"/>
          <w:strike w:val="0"/>
          <w:color w:val="000000"/>
          <w:sz w:val="26"/>
          <w:u w:val="none"/>
        </w:rPr>
        <w:t>(</w:t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  <w:t>Tulane University - A.B. Freeman School of Business</w:t>
      </w:r>
      <w:r>
        <w:rPr>
          <w:b w:val="0"/>
          <w:i w:val="0"/>
          <w:smallCaps w:val="0"/>
          <w:strike w:val="0"/>
          <w:color w:val="000000"/>
          <w:sz w:val="26"/>
          <w:u w:val="none"/>
        </w:rPr>
        <w:t xml:space="preserve">, </w:t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  <w:t>University of Texas at Austin - Department of Accounting</w:t>
      </w:r>
      <w:r>
        <w:rPr>
          <w:b w:val="0"/>
          <w:i w:val="0"/>
          <w:smallCaps w:val="0"/>
          <w:strike w:val="0"/>
          <w:color w:val="000000"/>
          <w:sz w:val="26"/>
          <w:u w:val="none"/>
        </w:rPr>
        <w:t>,</w:t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  <w:t>11/17/2020, “Tax Evasion and Money Laundering: A Complete Framework,” DA: 7/24/2024, https://www.bvagroup.com/files/files/Tax%20Evasion%20and%20Money%20Laundering%20-%20A%20Complete%20Framework%20-%20Journal%20of%20Financial%20Crime.pdf)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Income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tax evasion and m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oney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l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aundering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are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both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widespread and costly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Feige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and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Cebula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(2011)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estimate that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tax evasion costs the US Treasury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approximately US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$500bn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in lost revenue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per year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Murphy (2012) and Schneider et al. (2015) estimate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the cost approaches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US</w:t>
      </w:r>
      <w:r>
        <w:rPr>
          <w:b/>
          <w:i w:val="0"/>
          <w:smallCaps w:val="0"/>
          <w:strike w:val="0"/>
          <w:sz w:val="22"/>
          <w:u w:val="single"/>
        </w:rPr>
        <w:t>$1tn per year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in the E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uropean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U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nion alone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. This lost tax revenue strangles services, swells budget deficits, places an unfair burden on honest taxpayers and hurts the general welfare by distorting economic competition.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In regard to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money laundering, the United Nations Office on Drugs and Crime (2011) estimates that approximately US$1.6tn in criminal gains were laundered in 2009, equal to 2.7% of global gross domestic product (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GDP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). These illicit funds distort resource allocation by crowding out licit sectors, while successful money laundering foments more criminal enterprise.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Policymakers have long recognized that an overlap exists between tax evasion and money laundering. Both crimes are often concurrently committed and both crimes often rely upon similar techniques.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Corporate shell companies and fraudulent business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records/ accounting journal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entries are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often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the tools of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both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offenses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. Further, both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tax evasion and m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oney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l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aundering commonly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use opaque offshore tax havens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 xml:space="preserve">where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offenders hide assets, estimated at 10% of global GDP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(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Alstadsaeter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et al., 2018).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Given the interrelated nature of tax evasion and money laundering, prosecutors in many nations frequently initiate legal action by levying both charges (as well as fraud) for a single offense. To some degree, this array of charges reflects the ill-defined judicial boundaries between tax evasion and money laundering, which is at least partly because of an uncertain understanding of the fundamental nexus between the two crimes.</w:t>
      </w:r>
    </w:p>
    <w:p>
      <w:pPr>
        <w:pStyle w:val="Caption"/>
      </w:pPr>
      <w:r>
        <w:t>Source: E-Commerce Supplement - Michigan 7 2024 FWZ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