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TRIPS is key to IPR harmonization and protection and international trade.</w:t>
      </w:r>
    </w:p>
    <w:p>
      <w:pPr>
        <w:spacing w:after="80"/>
      </w:pPr>
      <w:r>
        <w:rPr>
          <w:b/>
          <w:i w:val="0"/>
          <w:smallCaps w:val="0"/>
          <w:strike w:val="0"/>
          <w:sz w:val="26"/>
          <w:u w:val="none"/>
        </w:rPr>
        <w:t xml:space="preserve">Cardwell </w:t>
      </w:r>
      <w:r>
        <w:rPr>
          <w:b/>
          <w:i w:val="0"/>
          <w:smallCaps w:val="0"/>
          <w:strike w:val="0"/>
          <w:sz w:val="26"/>
          <w:u w:val="none"/>
        </w:rPr>
        <w:t xml:space="preserve">and </w:t>
      </w:r>
      <w:r>
        <w:rPr>
          <w:b/>
          <w:i w:val="0"/>
          <w:smallCaps w:val="0"/>
          <w:strike w:val="0"/>
          <w:sz w:val="26"/>
          <w:u w:val="none"/>
        </w:rPr>
        <w:t>Ghazalian</w:t>
      </w:r>
      <w:r>
        <w:rPr>
          <w:b/>
          <w:i w:val="0"/>
          <w:smallCaps w:val="0"/>
          <w:strike w:val="0"/>
          <w:sz w:val="26"/>
          <w:u w:val="none"/>
        </w:rPr>
        <w:t xml:space="preserve"> </w:t>
      </w:r>
      <w:r>
        <w:rPr>
          <w:b/>
          <w:i w:val="0"/>
          <w:smallCaps w:val="0"/>
          <w:strike w:val="0"/>
          <w:sz w:val="26"/>
          <w:u w:val="none"/>
        </w:rPr>
        <w:t xml:space="preserve">12 </w:t>
      </w:r>
      <w:r>
        <w:rPr>
          <w:b w:val="0"/>
          <w:i w:val="0"/>
          <w:smallCaps w:val="0"/>
          <w:strike w:val="0"/>
          <w:sz w:val="22"/>
          <w:u w:val="none"/>
        </w:rPr>
        <w:t>[</w:t>
      </w:r>
      <w:r>
        <w:rPr>
          <w:b w:val="0"/>
          <w:i w:val="0"/>
          <w:smallCaps w:val="0"/>
          <w:strike w:val="0"/>
          <w:sz w:val="22"/>
          <w:u w:val="none"/>
        </w:rPr>
        <w:t>Ryan Cardwell</w:t>
      </w:r>
      <w:r>
        <w:rPr>
          <w:b/>
          <w:i w:val="0"/>
          <w:smallCaps w:val="0"/>
          <w:strike w:val="0"/>
          <w:sz w:val="22"/>
          <w:u w:val="none"/>
        </w:rPr>
        <w:t xml:space="preserve"> </w:t>
      </w:r>
      <w:r>
        <w:rPr>
          <w:b w:val="0"/>
          <w:i w:val="0"/>
          <w:smallCaps w:val="0"/>
          <w:strike w:val="0"/>
          <w:sz w:val="22"/>
          <w:u w:val="none"/>
        </w:rPr>
        <w:t xml:space="preserve">is a </w:t>
      </w:r>
      <w:r>
        <w:rPr>
          <w:b w:val="0"/>
          <w:i w:val="0"/>
          <w:smallCaps w:val="0"/>
          <w:strike w:val="0"/>
          <w:sz w:val="22"/>
          <w:u w:val="none"/>
        </w:rPr>
        <w:t xml:space="preserve">professor at the University of </w:t>
      </w:r>
      <w:r>
        <w:rPr>
          <w:b w:val="0"/>
          <w:i w:val="0"/>
          <w:smallCaps w:val="0"/>
          <w:strike w:val="0"/>
          <w:sz w:val="22"/>
          <w:u w:val="none"/>
        </w:rPr>
        <w:t>Manatoba</w:t>
      </w:r>
      <w:r>
        <w:rPr>
          <w:b w:val="0"/>
          <w:i w:val="0"/>
          <w:smallCaps w:val="0"/>
          <w:strike w:val="0"/>
          <w:sz w:val="22"/>
          <w:u w:val="none"/>
        </w:rPr>
        <w:t xml:space="preserve"> and is a part of the Department of Agribusiness and Agricultural Economics</w:t>
      </w:r>
      <w:r>
        <w:rPr>
          <w:b w:val="0"/>
          <w:i w:val="0"/>
          <w:smallCaps w:val="0"/>
          <w:strike w:val="0"/>
          <w:sz w:val="22"/>
          <w:u w:val="none"/>
        </w:rPr>
        <w:t xml:space="preserve">; </w:t>
      </w:r>
      <w:r>
        <w:rPr>
          <w:b w:val="0"/>
          <w:i w:val="0"/>
          <w:smallCaps w:val="0"/>
          <w:strike w:val="0"/>
          <w:sz w:val="22"/>
          <w:u w:val="none"/>
        </w:rPr>
        <w:t xml:space="preserve">Pascal L. </w:t>
      </w:r>
      <w:r>
        <w:rPr>
          <w:b w:val="0"/>
          <w:i w:val="0"/>
          <w:smallCaps w:val="0"/>
          <w:strike w:val="0"/>
          <w:sz w:val="22"/>
          <w:u w:val="none"/>
        </w:rPr>
        <w:t>Ghazalian</w:t>
      </w:r>
      <w:r>
        <w:rPr>
          <w:b/>
          <w:i w:val="0"/>
          <w:smallCaps w:val="0"/>
          <w:strike w:val="0"/>
          <w:sz w:val="22"/>
          <w:u w:val="none"/>
        </w:rPr>
        <w:t xml:space="preserve"> </w:t>
      </w:r>
      <w:r>
        <w:rPr>
          <w:b w:val="0"/>
          <w:i w:val="0"/>
          <w:smallCaps w:val="0"/>
          <w:strike w:val="0"/>
          <w:sz w:val="22"/>
          <w:u w:val="none"/>
        </w:rPr>
        <w:t>is a professor at the Department of Economics at the University of Lethbridge; 1/1/2012;</w:t>
      </w:r>
      <w:r>
        <w:rPr>
          <w:b w:val="0"/>
          <w:i w:val="0"/>
          <w:smallCaps w:val="0"/>
          <w:strike w:val="0"/>
          <w:sz w:val="22"/>
          <w:u w:val="none"/>
        </w:rPr>
        <w:t xml:space="preserve"> "</w:t>
      </w:r>
      <w:r>
        <w:rPr>
          <w:b w:val="0"/>
          <w:i w:val="0"/>
          <w:smallCaps w:val="0"/>
          <w:strike w:val="0"/>
          <w:sz w:val="22"/>
          <w:u w:val="none"/>
        </w:rPr>
        <w:t>The Effects of the TRIPS Agreement on International Protection of Intellectual Property Rights";</w:t>
      </w:r>
      <w:r>
        <w:rPr>
          <w:b w:val="0"/>
          <w:i w:val="0"/>
          <w:smallCaps w:val="0"/>
          <w:strike w:val="0"/>
          <w:sz w:val="22"/>
          <w:u w:val="none"/>
        </w:rPr>
        <w:t xml:space="preserve"> </w:t>
      </w:r>
      <w:r>
        <w:rPr>
          <w:b w:val="0"/>
          <w:i w:val="0"/>
          <w:smallCaps w:val="0"/>
          <w:strike w:val="0"/>
          <w:sz w:val="22"/>
          <w:u w:val="none"/>
        </w:rPr>
        <w:t>The International Trade Journal</w:t>
      </w:r>
      <w:r>
        <w:rPr>
          <w:b w:val="0"/>
          <w:i w:val="0"/>
          <w:smallCaps w:val="0"/>
          <w:strike w:val="0"/>
          <w:sz w:val="22"/>
          <w:u w:val="none"/>
        </w:rPr>
        <w:t xml:space="preserve">; </w:t>
      </w:r>
      <w:r>
        <w:rPr>
          <w:b w:val="0"/>
          <w:i w:val="0"/>
          <w:smallCaps w:val="0"/>
          <w:strike w:val="0"/>
          <w:sz w:val="22"/>
          <w:u w:val="none"/>
        </w:rPr>
        <w:t>; p. 34-35; accessed through Michigan; Date Accessed – 7/26/2024]</w:t>
      </w:r>
    </w:p>
    <w:p>
      <w:pPr>
        <w:spacing w:after="60"/>
      </w:pPr>
      <w:r>
        <w:rPr>
          <w:b w:val="0"/>
          <w:i w:val="0"/>
          <w:smallCaps w:val="0"/>
          <w:strike w:val="0"/>
          <w:sz w:val="22"/>
          <w:u w:val="single"/>
        </w:rPr>
        <w:t xml:space="preserve">The </w:t>
      </w:r>
      <w:r>
        <w:rPr>
          <w:b w:val="0"/>
          <w:i w:val="0"/>
          <w:smallCaps w:val="0"/>
          <w:strike w:val="0"/>
          <w:sz w:val="22"/>
          <w:highlight w:val="cyan"/>
          <w:u w:val="single"/>
        </w:rPr>
        <w:t>TRIPS Agreement</w:t>
      </w:r>
      <w:r>
        <w:rPr>
          <w:b w:val="0"/>
          <w:i w:val="0"/>
          <w:smallCaps w:val="0"/>
          <w:strike w:val="0"/>
          <w:sz w:val="22"/>
          <w:u w:val="single"/>
        </w:rPr>
        <w:t xml:space="preserve"> is a core component of the WTO’s set of </w:t>
      </w:r>
      <w:r>
        <w:rPr>
          <w:b w:val="0"/>
          <w:i w:val="0"/>
          <w:smallCaps w:val="0"/>
          <w:strike w:val="0"/>
          <w:sz w:val="22"/>
          <w:u w:val="single"/>
        </w:rPr>
        <w:t>agreements</w:t>
      </w:r>
      <w:r>
        <w:rPr>
          <w:b w:val="0"/>
          <w:i w:val="0"/>
          <w:smallCaps w:val="0"/>
          <w:strike w:val="0"/>
          <w:sz w:val="16"/>
          <w:u w:val="none"/>
        </w:rPr>
        <w:t>, and</w:t>
      </w:r>
      <w:r>
        <w:rPr>
          <w:b w:val="0"/>
          <w:i w:val="0"/>
          <w:smallCaps w:val="0"/>
          <w:strike w:val="0"/>
          <w:sz w:val="16"/>
          <w:u w:val="none"/>
        </w:rPr>
        <w:t xml:space="preserve"> is likely to be a fixture of future international trade agreements despite the controversy surrounding its implementation. All WTO member countries are required to comply with the Agreement’s requirements (</w:t>
      </w:r>
      <w:r>
        <w:rPr>
          <w:b w:val="0"/>
          <w:i w:val="0"/>
          <w:smallCaps w:val="0"/>
          <w:strike w:val="0"/>
          <w:sz w:val="16"/>
          <w:u w:val="none"/>
        </w:rPr>
        <w:t>with the exception of</w:t>
      </w:r>
      <w:r>
        <w:rPr>
          <w:b w:val="0"/>
          <w:i w:val="0"/>
          <w:smallCaps w:val="0"/>
          <w:strike w:val="0"/>
          <w:sz w:val="16"/>
          <w:u w:val="none"/>
        </w:rPr>
        <w:t xml:space="preserve"> countries that are not bound until 2013), or risk retaliatory trade sanction</w:t>
      </w:r>
      <w:r>
        <w:rPr>
          <w:b w:val="0"/>
          <w:i w:val="0"/>
          <w:smallCaps w:val="0"/>
          <w:strike w:val="0"/>
          <w:sz w:val="16"/>
          <w:u w:val="none"/>
        </w:rPr>
        <w:t>s</w:t>
      </w:r>
      <w:r>
        <w:rPr>
          <w:b w:val="0"/>
          <w:i w:val="0"/>
          <w:smallCaps w:val="0"/>
          <w:strike w:val="0"/>
          <w:sz w:val="16"/>
          <w:u w:val="none"/>
        </w:rPr>
        <w:t xml:space="preserve">. </w:t>
      </w:r>
      <w:r>
        <w:rPr>
          <w:b w:val="0"/>
          <w:i w:val="0"/>
          <w:smallCaps w:val="0"/>
          <w:strike w:val="0"/>
          <w:sz w:val="22"/>
          <w:u w:val="single"/>
        </w:rPr>
        <w:t xml:space="preserve">The TRIPS Agreement </w:t>
      </w:r>
      <w:r>
        <w:rPr>
          <w:b w:val="0"/>
          <w:i w:val="0"/>
          <w:smallCaps w:val="0"/>
          <w:strike w:val="0"/>
          <w:sz w:val="22"/>
          <w:highlight w:val="cyan"/>
          <w:u w:val="single"/>
        </w:rPr>
        <w:t>does not discriminate</w:t>
      </w:r>
      <w:r>
        <w:rPr>
          <w:b w:val="0"/>
          <w:i w:val="0"/>
          <w:smallCaps w:val="0"/>
          <w:strike w:val="0"/>
          <w:sz w:val="22"/>
          <w:u w:val="single"/>
        </w:rPr>
        <w:t xml:space="preserve"> between </w:t>
      </w:r>
      <w:r>
        <w:rPr>
          <w:b w:val="0"/>
          <w:i w:val="0"/>
          <w:smallCaps w:val="0"/>
          <w:strike w:val="0"/>
          <w:sz w:val="16"/>
          <w:u w:val="none"/>
        </w:rPr>
        <w:t>member</w:t>
      </w:r>
      <w:r>
        <w:rPr>
          <w:b w:val="0"/>
          <w:i w:val="0"/>
          <w:smallCaps w:val="0"/>
          <w:strike w:val="0"/>
          <w:sz w:val="16"/>
          <w:u w:val="none"/>
        </w:rPr>
        <w:t xml:space="preserve"> countries </w:t>
      </w:r>
      <w:r>
        <w:rPr>
          <w:b w:val="0"/>
          <w:i w:val="0"/>
          <w:smallCaps w:val="0"/>
          <w:strike w:val="0"/>
          <w:sz w:val="16"/>
          <w:u w:val="none"/>
        </w:rPr>
        <w:t>despite the absence of a theoretical rationale</w:t>
      </w:r>
      <w:r>
        <w:rPr>
          <w:b w:val="0"/>
          <w:i w:val="0"/>
          <w:smallCaps w:val="0"/>
          <w:strike w:val="0"/>
          <w:sz w:val="16"/>
          <w:u w:val="single"/>
        </w:rPr>
        <w:t xml:space="preserve"> </w:t>
      </w:r>
      <w:r>
        <w:rPr>
          <w:b w:val="0"/>
          <w:i w:val="0"/>
          <w:smallCaps w:val="0"/>
          <w:strike w:val="0"/>
          <w:sz w:val="22"/>
          <w:highlight w:val="cyan"/>
          <w:u w:val="single"/>
        </w:rPr>
        <w:t>for</w:t>
      </w:r>
      <w:r>
        <w:rPr>
          <w:b w:val="0"/>
          <w:i w:val="0"/>
          <w:smallCaps w:val="0"/>
          <w:strike w:val="0"/>
          <w:sz w:val="22"/>
          <w:u w:val="single"/>
        </w:rPr>
        <w:t xml:space="preserve"> the establishment of </w:t>
      </w:r>
      <w:r>
        <w:rPr>
          <w:b w:val="0"/>
          <w:i w:val="0"/>
          <w:smallCaps w:val="0"/>
          <w:strike w:val="0"/>
          <w:sz w:val="22"/>
          <w:highlight w:val="cyan"/>
          <w:u w:val="single"/>
        </w:rPr>
        <w:t xml:space="preserve">a single </w:t>
      </w:r>
      <w:r>
        <w:rPr>
          <w:b w:val="0"/>
          <w:i w:val="0"/>
          <w:smallCaps w:val="0"/>
          <w:strike w:val="0"/>
          <w:sz w:val="22"/>
          <w:highlight w:val="cyan"/>
          <w:u w:val="single"/>
        </w:rPr>
        <w:t>harmonised</w:t>
      </w:r>
      <w:r>
        <w:rPr>
          <w:b w:val="0"/>
          <w:i w:val="0"/>
          <w:smallCaps w:val="0"/>
          <w:strike w:val="0"/>
          <w:sz w:val="22"/>
          <w:highlight w:val="cyan"/>
          <w:u w:val="single"/>
        </w:rPr>
        <w:t xml:space="preserve"> set of IPR protection</w:t>
      </w:r>
      <w:r>
        <w:rPr>
          <w:b w:val="0"/>
          <w:i w:val="0"/>
          <w:smallCaps w:val="0"/>
          <w:strike w:val="0"/>
          <w:sz w:val="22"/>
          <w:u w:val="single"/>
        </w:rPr>
        <w:t xml:space="preserve"> mechanisms </w:t>
      </w:r>
      <w:r>
        <w:rPr>
          <w:b w:val="0"/>
          <w:i w:val="0"/>
          <w:smallCaps w:val="0"/>
          <w:strike w:val="0"/>
          <w:sz w:val="22"/>
          <w:highlight w:val="cyan"/>
          <w:u w:val="single"/>
        </w:rPr>
        <w:t>across countries</w:t>
      </w:r>
      <w:r>
        <w:rPr>
          <w:b w:val="0"/>
          <w:i w:val="0"/>
          <w:smallCaps w:val="0"/>
          <w:strike w:val="0"/>
          <w:sz w:val="22"/>
          <w:u w:val="single"/>
        </w:rPr>
        <w:t>. All countries</w:t>
      </w:r>
      <w:r>
        <w:rPr>
          <w:b w:val="0"/>
          <w:i w:val="0"/>
          <w:smallCaps w:val="0"/>
          <w:strike w:val="0"/>
          <w:sz w:val="22"/>
          <w:u w:val="single"/>
        </w:rPr>
        <w:t xml:space="preserve">, </w:t>
      </w:r>
      <w:r>
        <w:rPr>
          <w:b w:val="0"/>
          <w:i w:val="0"/>
          <w:smallCaps w:val="0"/>
          <w:strike w:val="0"/>
          <w:sz w:val="22"/>
          <w:u w:val="single"/>
        </w:rPr>
        <w:t>regardless of IPR protection starting point or development level</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have to</w:t>
      </w:r>
      <w:r>
        <w:rPr>
          <w:b w:val="0"/>
          <w:i w:val="0"/>
          <w:smallCaps w:val="0"/>
          <w:strike w:val="0"/>
          <w:sz w:val="22"/>
          <w:u w:val="single"/>
        </w:rPr>
        <w:t xml:space="preserve"> comply with </w:t>
      </w:r>
      <w:r>
        <w:rPr>
          <w:b w:val="0"/>
          <w:i w:val="0"/>
          <w:smallCaps w:val="0"/>
          <w:strike w:val="0"/>
          <w:sz w:val="22"/>
          <w:u w:val="single"/>
        </w:rPr>
        <w:t>harmonised</w:t>
      </w:r>
      <w:r>
        <w:rPr>
          <w:b w:val="0"/>
          <w:i w:val="0"/>
          <w:smallCaps w:val="0"/>
          <w:strike w:val="0"/>
          <w:sz w:val="22"/>
          <w:u w:val="single"/>
        </w:rPr>
        <w:t xml:space="preserve"> standards to fulfil their obligations. </w:t>
      </w:r>
    </w:p>
    <w:p>
      <w:pPr>
        <w:spacing w:after="60"/>
      </w:pPr>
      <w:r>
        <w:rPr>
          <w:b w:val="0"/>
          <w:i w:val="0"/>
          <w:smallCaps w:val="0"/>
          <w:strike w:val="0"/>
          <w:sz w:val="16"/>
          <w:u w:val="none"/>
        </w:rPr>
        <w:t xml:space="preserve">We develop an empirical model using a broad panel dataset to evaluate the effectiveness of the TRIPS Agreement in tightening IPR protection across a range of countries. There are three important observations that can be made of the empirical estimates. First, domestic factors are important determinants of IPR protection, as measured by our modified version of G&amp;P’s (1997) index. This result is consistent with the findings of other authors on similar topics who have found that income, education, governance and domestic R&amp;D activity generate stronger IPR protection. </w:t>
      </w:r>
    </w:p>
    <w:p>
      <w:pPr>
        <w:spacing w:after="60"/>
      </w:pPr>
      <w:r>
        <w:rPr>
          <w:b w:val="0"/>
          <w:i w:val="0"/>
          <w:smallCaps w:val="0"/>
          <w:strike w:val="0"/>
          <w:sz w:val="22"/>
          <w:u w:val="single"/>
        </w:rPr>
        <w:t>Second</w:t>
      </w:r>
      <w:r>
        <w:rPr>
          <w:b w:val="0"/>
          <w:i w:val="0"/>
          <w:smallCaps w:val="0"/>
          <w:strike w:val="0"/>
          <w:sz w:val="16"/>
          <w:u w:val="none"/>
        </w:rPr>
        <w:t xml:space="preserve">, the TRIPS Agreement has had significant effects on IPR protection over its implementation period, but the significance of these effects depends on countries’ development levels. We find that disaggregating the panel of countries by level of development yields different results for developed and developing countries, even when controlling for per capita income. </w:t>
      </w:r>
      <w:r>
        <w:rPr>
          <w:b w:val="0"/>
          <w:i w:val="0"/>
          <w:smallCaps w:val="0"/>
          <w:strike w:val="0"/>
          <w:sz w:val="22"/>
          <w:highlight w:val="cyan"/>
          <w:u w:val="single"/>
        </w:rPr>
        <w:t>The TRIPS Agreement has</w:t>
      </w:r>
      <w:r>
        <w:rPr>
          <w:b w:val="0"/>
          <w:i w:val="0"/>
          <w:smallCaps w:val="0"/>
          <w:strike w:val="0"/>
          <w:sz w:val="22"/>
          <w:u w:val="single"/>
        </w:rPr>
        <w:t xml:space="preserve"> had </w:t>
      </w:r>
      <w:r>
        <w:rPr>
          <w:b w:val="0"/>
          <w:i w:val="0"/>
          <w:smallCaps w:val="0"/>
          <w:strike w:val="0"/>
          <w:sz w:val="22"/>
          <w:highlight w:val="cyan"/>
          <w:u w:val="single"/>
        </w:rPr>
        <w:t xml:space="preserve">significant effects on IPR protection in developing </w:t>
      </w:r>
      <w:r>
        <w:rPr>
          <w:b w:val="0"/>
          <w:i w:val="0"/>
          <w:smallCaps w:val="0"/>
          <w:strike w:val="0"/>
          <w:sz w:val="22"/>
          <w:highlight w:val="cyan"/>
          <w:u w:val="single"/>
        </w:rPr>
        <w:t>countries</w:t>
      </w:r>
      <w:r>
        <w:rPr>
          <w:b w:val="0"/>
          <w:i w:val="0"/>
          <w:smallCaps w:val="0"/>
          <w:strike w:val="0"/>
          <w:sz w:val="16"/>
          <w:u w:val="none"/>
        </w:rPr>
        <w:t>, but</w:t>
      </w:r>
      <w:r>
        <w:rPr>
          <w:b w:val="0"/>
          <w:i w:val="0"/>
          <w:smallCaps w:val="0"/>
          <w:strike w:val="0"/>
          <w:sz w:val="16"/>
          <w:u w:val="none"/>
        </w:rPr>
        <w:t xml:space="preserve"> has not measurably affected developed countries’ level of IPR protection. This result is consistent with the setting of TRIPS Agreements standards to conform closely to IPR protection regimes that were already in place in many developed countries. </w:t>
      </w:r>
      <w:r>
        <w:rPr>
          <w:b w:val="0"/>
          <w:i w:val="0"/>
          <w:smallCaps w:val="0"/>
          <w:strike w:val="0"/>
          <w:sz w:val="22"/>
          <w:highlight w:val="cyan"/>
          <w:u w:val="single"/>
        </w:rPr>
        <w:t>Developed countries did not</w:t>
      </w:r>
      <w:r>
        <w:rPr>
          <w:b w:val="0"/>
          <w:i w:val="0"/>
          <w:smallCaps w:val="0"/>
          <w:strike w:val="0"/>
          <w:sz w:val="22"/>
          <w:u w:val="single"/>
        </w:rPr>
        <w:t xml:space="preserve"> have to markedly </w:t>
      </w:r>
      <w:r>
        <w:rPr>
          <w:b w:val="0"/>
          <w:i w:val="0"/>
          <w:smallCaps w:val="0"/>
          <w:strike w:val="0"/>
          <w:sz w:val="22"/>
          <w:highlight w:val="cyan"/>
          <w:u w:val="single"/>
        </w:rPr>
        <w:t>alter their regimes</w:t>
      </w:r>
      <w:r>
        <w:rPr>
          <w:b w:val="0"/>
          <w:i w:val="0"/>
          <w:smallCaps w:val="0"/>
          <w:strike w:val="0"/>
          <w:sz w:val="22"/>
          <w:u w:val="single"/>
        </w:rPr>
        <w:t xml:space="preserve"> </w:t>
      </w:r>
      <w:r>
        <w:rPr>
          <w:b w:val="0"/>
          <w:i w:val="0"/>
          <w:smallCaps w:val="0"/>
          <w:strike w:val="0"/>
          <w:sz w:val="22"/>
          <w:highlight w:val="cyan"/>
          <w:u w:val="single"/>
        </w:rPr>
        <w:t>to be compliant</w:t>
      </w:r>
      <w:r>
        <w:rPr>
          <w:b w:val="0"/>
          <w:i w:val="0"/>
          <w:smallCaps w:val="0"/>
          <w:strike w:val="0"/>
          <w:sz w:val="22"/>
          <w:u w:val="single"/>
        </w:rPr>
        <w:t xml:space="preserve"> with the TRIPS Agreement.</w:t>
      </w:r>
      <w:r>
        <w:rPr>
          <w:b w:val="0"/>
          <w:i w:val="0"/>
          <w:smallCaps w:val="0"/>
          <w:strike w:val="0"/>
          <w:sz w:val="16"/>
          <w:u w:val="none"/>
        </w:rPr>
        <w:t xml:space="preserve"> </w:t>
      </w:r>
    </w:p>
    <w:p>
      <w:pPr>
        <w:spacing w:after="60"/>
      </w:pPr>
      <w:r>
        <w:rPr>
          <w:b w:val="0"/>
          <w:i w:val="0"/>
          <w:smallCaps w:val="0"/>
          <w:strike w:val="0"/>
          <w:sz w:val="16"/>
          <w:u w:val="none"/>
        </w:rPr>
        <w:t>Third, we</w:t>
      </w:r>
      <w:r>
        <w:rPr>
          <w:b w:val="0"/>
          <w:i w:val="0"/>
          <w:smallCaps w:val="0"/>
          <w:strike w:val="0"/>
          <w:sz w:val="16"/>
          <w:u w:val="none"/>
        </w:rPr>
        <w:t xml:space="preserve"> find that the effects of the TRIPS Agreement vary across regions. </w:t>
      </w:r>
      <w:r>
        <w:rPr>
          <w:b w:val="0"/>
          <w:i w:val="0"/>
          <w:smallCaps w:val="0"/>
          <w:strike w:val="0"/>
          <w:sz w:val="22"/>
          <w:u w:val="single"/>
        </w:rPr>
        <w:t xml:space="preserve">The </w:t>
      </w:r>
      <w:r>
        <w:rPr>
          <w:b w:val="0"/>
          <w:i w:val="0"/>
          <w:smallCaps w:val="0"/>
          <w:strike w:val="0"/>
          <w:sz w:val="22"/>
          <w:highlight w:val="cyan"/>
          <w:u w:val="single"/>
        </w:rPr>
        <w:t>TRIPS</w:t>
      </w:r>
      <w:r>
        <w:rPr>
          <w:b w:val="0"/>
          <w:i w:val="0"/>
          <w:smallCaps w:val="0"/>
          <w:strike w:val="0"/>
          <w:sz w:val="22"/>
          <w:u w:val="single"/>
        </w:rPr>
        <w:t xml:space="preserve"> Agreement </w:t>
      </w:r>
      <w:r>
        <w:rPr>
          <w:b w:val="0"/>
          <w:i w:val="0"/>
          <w:smallCaps w:val="0"/>
          <w:strike w:val="0"/>
          <w:sz w:val="22"/>
          <w:highlight w:val="cyan"/>
          <w:u w:val="single"/>
        </w:rPr>
        <w:t>has had positive</w:t>
      </w:r>
      <w:r>
        <w:rPr>
          <w:b w:val="0"/>
          <w:i w:val="0"/>
          <w:smallCaps w:val="0"/>
          <w:strike w:val="0"/>
          <w:sz w:val="22"/>
          <w:u w:val="single"/>
        </w:rPr>
        <w:t xml:space="preserve"> and significant </w:t>
      </w:r>
      <w:r>
        <w:rPr>
          <w:b w:val="0"/>
          <w:i w:val="0"/>
          <w:smallCaps w:val="0"/>
          <w:strike w:val="0"/>
          <w:sz w:val="22"/>
          <w:highlight w:val="cyan"/>
          <w:u w:val="single"/>
        </w:rPr>
        <w:t>effects on IPR protection in</w:t>
      </w:r>
      <w:r>
        <w:rPr>
          <w:b w:val="0"/>
          <w:i w:val="0"/>
          <w:smallCaps w:val="0"/>
          <w:strike w:val="0"/>
          <w:sz w:val="22"/>
          <w:u w:val="single"/>
        </w:rPr>
        <w:t xml:space="preserve"> </w:t>
      </w:r>
      <w:r>
        <w:rPr>
          <w:b w:val="0"/>
          <w:i w:val="0"/>
          <w:smallCaps w:val="0"/>
          <w:strike w:val="0"/>
          <w:sz w:val="22"/>
          <w:highlight w:val="cyan"/>
          <w:u w:val="single"/>
        </w:rPr>
        <w:t>Central and South America</w:t>
      </w:r>
      <w:r>
        <w:rPr>
          <w:b w:val="0"/>
          <w:i w:val="0"/>
          <w:smallCaps w:val="0"/>
          <w:strike w:val="0"/>
          <w:sz w:val="22"/>
          <w:u w:val="single"/>
        </w:rPr>
        <w:t xml:space="preserve">, in </w:t>
      </w:r>
      <w:r>
        <w:rPr>
          <w:b w:val="0"/>
          <w:i w:val="0"/>
          <w:smallCaps w:val="0"/>
          <w:strike w:val="0"/>
          <w:sz w:val="22"/>
          <w:highlight w:val="cyan"/>
          <w:u w:val="single"/>
        </w:rPr>
        <w:t>Asia</w:t>
      </w:r>
      <w:r>
        <w:rPr>
          <w:b w:val="0"/>
          <w:i w:val="0"/>
          <w:smallCaps w:val="0"/>
          <w:strike w:val="0"/>
          <w:sz w:val="22"/>
          <w:u w:val="single"/>
        </w:rPr>
        <w:t xml:space="preserve"> and in </w:t>
      </w:r>
      <w:r>
        <w:rPr>
          <w:b w:val="0"/>
          <w:i w:val="0"/>
          <w:smallCaps w:val="0"/>
          <w:strike w:val="0"/>
          <w:sz w:val="22"/>
          <w:highlight w:val="cyan"/>
          <w:u w:val="single"/>
        </w:rPr>
        <w:t>North Africa</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Middle East</w:t>
      </w:r>
      <w:r>
        <w:rPr>
          <w:b w:val="0"/>
          <w:i w:val="0"/>
          <w:smallCaps w:val="0"/>
          <w:strike w:val="0"/>
          <w:sz w:val="22"/>
          <w:u w:val="single"/>
        </w:rPr>
        <w:t>.</w:t>
      </w:r>
      <w:r>
        <w:rPr>
          <w:b w:val="0"/>
          <w:i w:val="0"/>
          <w:smallCaps w:val="0"/>
          <w:strike w:val="0"/>
          <w:sz w:val="16"/>
          <w:u w:val="none"/>
        </w:rPr>
        <w:t xml:space="preserve"> The TRIPS Agreement has not significantly affected protection of IPR in Sub‐Saharan Africa</w:t>
      </w:r>
      <w:r>
        <w:rPr>
          <w:b w:val="0"/>
          <w:i w:val="0"/>
          <w:smallCaps w:val="0"/>
          <w:strike w:val="0"/>
          <w:sz w:val="16"/>
          <w:u w:val="none"/>
        </w:rPr>
        <w:t xml:space="preserve">. </w:t>
      </w:r>
      <w:r>
        <w:rPr>
          <w:b w:val="0"/>
          <w:i w:val="0"/>
          <w:smallCaps w:val="0"/>
          <w:strike w:val="0"/>
          <w:sz w:val="16"/>
          <w:u w:val="none"/>
        </w:rPr>
        <w:t>H</w:t>
      </w:r>
      <w:r>
        <w:rPr>
          <w:b w:val="0"/>
          <w:i w:val="0"/>
          <w:smallCaps w:val="0"/>
          <w:strike w:val="0"/>
          <w:sz w:val="16"/>
          <w:u w:val="none"/>
        </w:rPr>
        <w:t>owever</w:t>
      </w:r>
      <w:r>
        <w:rPr>
          <w:b w:val="0"/>
          <w:i w:val="0"/>
          <w:smallCaps w:val="0"/>
          <w:strike w:val="0"/>
          <w:sz w:val="16"/>
          <w:u w:val="none"/>
        </w:rPr>
        <w:t xml:space="preserve"> the only Sub‐Saharan African country in our sample that is bound by the TRIPS Agreement is South Africa. </w:t>
      </w:r>
    </w:p>
    <w:p>
      <w:pPr>
        <w:spacing w:after="60"/>
      </w:pPr>
      <w:r>
        <w:rPr>
          <w:b w:val="0"/>
          <w:i w:val="0"/>
          <w:smallCaps w:val="0"/>
          <w:strike w:val="0"/>
          <w:sz w:val="22"/>
          <w:u w:val="single"/>
        </w:rPr>
        <w:t>Countries that are relatively dependent on exports to countries that pushed for the TRIPS Agreement’s inclusion in the WTO (</w:t>
      </w:r>
      <w:r>
        <w:rPr>
          <w:b w:val="0"/>
          <w:i w:val="0"/>
          <w:smallCaps w:val="0"/>
          <w:strike w:val="0"/>
          <w:sz w:val="22"/>
          <w:u w:val="single"/>
        </w:rPr>
        <w:t>i.e.,</w:t>
      </w:r>
      <w:r>
        <w:rPr>
          <w:b w:val="0"/>
          <w:i w:val="0"/>
          <w:smallCaps w:val="0"/>
          <w:strike w:val="0"/>
          <w:sz w:val="22"/>
          <w:u w:val="single"/>
        </w:rPr>
        <w:t xml:space="preserve"> </w:t>
      </w:r>
      <w:r>
        <w:rPr>
          <w:b w:val="0"/>
          <w:i w:val="0"/>
          <w:smallCaps w:val="0"/>
          <w:strike w:val="0"/>
          <w:sz w:val="22"/>
          <w:highlight w:val="cyan"/>
          <w:u w:val="single"/>
        </w:rPr>
        <w:t>developed countries</w:t>
      </w:r>
      <w:r>
        <w:rPr>
          <w:b w:val="0"/>
          <w:i w:val="0"/>
          <w:smallCaps w:val="0"/>
          <w:strike w:val="0"/>
          <w:sz w:val="22"/>
          <w:u w:val="single"/>
        </w:rPr>
        <w:t xml:space="preserve">) may </w:t>
      </w:r>
      <w:r>
        <w:rPr>
          <w:b w:val="0"/>
          <w:i w:val="0"/>
          <w:smallCaps w:val="0"/>
          <w:strike w:val="0"/>
          <w:sz w:val="22"/>
          <w:highlight w:val="cyan"/>
          <w:u w:val="single"/>
        </w:rPr>
        <w:t>ta</w:t>
      </w:r>
      <w:r>
        <w:rPr>
          <w:b w:val="0"/>
          <w:i w:val="0"/>
          <w:smallCaps w:val="0"/>
          <w:strike w:val="0"/>
          <w:sz w:val="22"/>
          <w:highlight w:val="cyan"/>
          <w:u w:val="single"/>
        </w:rPr>
        <w:t>k</w:t>
      </w:r>
      <w:r>
        <w:rPr>
          <w:b w:val="0"/>
          <w:i w:val="0"/>
          <w:smallCaps w:val="0"/>
          <w:strike w:val="0"/>
          <w:sz w:val="22"/>
          <w:highlight w:val="cyan"/>
          <w:u w:val="single"/>
        </w:rPr>
        <w:t>e</w:t>
      </w:r>
      <w:r>
        <w:rPr>
          <w:b w:val="0"/>
          <w:i w:val="0"/>
          <w:smallCaps w:val="0"/>
          <w:strike w:val="0"/>
          <w:sz w:val="22"/>
          <w:u w:val="single"/>
        </w:rPr>
        <w:t xml:space="preserve"> the threat </w:t>
      </w:r>
      <w:r>
        <w:rPr>
          <w:b w:val="0"/>
          <w:i w:val="0"/>
          <w:smallCaps w:val="0"/>
          <w:strike w:val="0"/>
          <w:sz w:val="22"/>
          <w:highlight w:val="cyan"/>
          <w:u w:val="single"/>
        </w:rPr>
        <w:t>of retaliatory trade sanctions</w:t>
      </w:r>
      <w:r>
        <w:rPr>
          <w:b w:val="0"/>
          <w:i w:val="0"/>
          <w:smallCaps w:val="0"/>
          <w:strike w:val="0"/>
          <w:sz w:val="22"/>
          <w:u w:val="single"/>
        </w:rPr>
        <w:t xml:space="preserve"> </w:t>
      </w:r>
      <w:r>
        <w:rPr>
          <w:b w:val="0"/>
          <w:i w:val="0"/>
          <w:smallCaps w:val="0"/>
          <w:strike w:val="0"/>
          <w:sz w:val="22"/>
          <w:highlight w:val="cyan"/>
          <w:u w:val="single"/>
        </w:rPr>
        <w:t>seriously</w:t>
      </w:r>
      <w:r>
        <w:rPr>
          <w:b w:val="0"/>
          <w:i w:val="0"/>
          <w:smallCaps w:val="0"/>
          <w:strike w:val="0"/>
          <w:sz w:val="22"/>
          <w:u w:val="single"/>
        </w:rPr>
        <w:t xml:space="preserve"> because they have much to lose in the form of </w:t>
      </w:r>
      <w:r>
        <w:rPr>
          <w:b w:val="0"/>
          <w:i w:val="0"/>
          <w:smallCaps w:val="0"/>
          <w:strike w:val="0"/>
          <w:sz w:val="22"/>
          <w:u w:val="single"/>
        </w:rPr>
        <w:t>forgone</w:t>
      </w:r>
      <w:r>
        <w:rPr>
          <w:b w:val="0"/>
          <w:i w:val="0"/>
          <w:smallCaps w:val="0"/>
          <w:strike w:val="0"/>
          <w:sz w:val="22"/>
          <w:u w:val="single"/>
        </w:rPr>
        <w:t xml:space="preserve"> exports</w:t>
      </w:r>
      <w:r>
        <w:rPr>
          <w:b w:val="0"/>
          <w:i w:val="0"/>
          <w:smallCaps w:val="0"/>
          <w:strike w:val="0"/>
          <w:sz w:val="16"/>
          <w:u w:val="none"/>
        </w:rPr>
        <w:t xml:space="preserve">. This provides evidence that the </w:t>
      </w:r>
      <w:r>
        <w:rPr>
          <w:b w:val="0"/>
          <w:i w:val="0"/>
          <w:smallCaps w:val="0"/>
          <w:strike w:val="0"/>
          <w:sz w:val="22"/>
          <w:highlight w:val="cyan"/>
          <w:u w:val="single"/>
        </w:rPr>
        <w:t>TRIPS</w:t>
      </w:r>
      <w:r>
        <w:rPr>
          <w:b w:val="0"/>
          <w:i w:val="0"/>
          <w:smallCaps w:val="0"/>
          <w:strike w:val="0"/>
          <w:sz w:val="22"/>
          <w:u w:val="single"/>
        </w:rPr>
        <w:t xml:space="preserve"> Agreement </w:t>
      </w:r>
      <w:r>
        <w:rPr>
          <w:b w:val="0"/>
          <w:i w:val="0"/>
          <w:smallCaps w:val="0"/>
          <w:strike w:val="0"/>
          <w:sz w:val="22"/>
          <w:highlight w:val="cyan"/>
          <w:u w:val="single"/>
        </w:rPr>
        <w:t>has been successful</w:t>
      </w:r>
      <w:r>
        <w:rPr>
          <w:b w:val="0"/>
          <w:i w:val="0"/>
          <w:smallCaps w:val="0"/>
          <w:strike w:val="0"/>
          <w:sz w:val="16"/>
          <w:u w:val="none"/>
        </w:rPr>
        <w:t xml:space="preserve"> as a coercive threat </w:t>
      </w:r>
      <w:r>
        <w:rPr>
          <w:b w:val="0"/>
          <w:i w:val="0"/>
          <w:smallCaps w:val="0"/>
          <w:strike w:val="0"/>
          <w:sz w:val="22"/>
          <w:highlight w:val="cyan"/>
          <w:u w:val="single"/>
        </w:rPr>
        <w:t>in international trade relations</w:t>
      </w:r>
      <w:r>
        <w:rPr>
          <w:b w:val="0"/>
          <w:i w:val="0"/>
          <w:smallCaps w:val="0"/>
          <w:strike w:val="0"/>
          <w:sz w:val="16"/>
          <w:u w:val="none"/>
        </w:rPr>
        <w:t>. We anecdotally observe that regions with high export dependence on developed countries have made significant changes to their IPR protection system</w:t>
      </w:r>
      <w:r>
        <w:rPr>
          <w:b w:val="0"/>
          <w:i w:val="0"/>
          <w:smallCaps w:val="0"/>
          <w:strike w:val="0"/>
          <w:sz w:val="16"/>
          <w:u w:val="none"/>
        </w:rPr>
        <w:t>; a</w:t>
      </w:r>
      <w:r>
        <w:rPr>
          <w:b w:val="0"/>
          <w:i w:val="0"/>
          <w:smallCaps w:val="0"/>
          <w:strike w:val="0"/>
          <w:sz w:val="16"/>
          <w:u w:val="none"/>
        </w:rPr>
        <w:t xml:space="preserve">n interesting extension of this research would be to investigate the reasons that some developing countries/regions have responded to the TRIPS Agreement more significantly than others.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