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CP fails – TRIPS is outdated and shouldn’t be incorporated in the modern world</w:t>
      </w:r>
    </w:p>
    <w:p>
      <w:pPr>
        <w:spacing w:after="80"/>
      </w:pPr>
      <w:r>
        <w:rPr>
          <w:b w:val="0"/>
          <w:i w:val="0"/>
          <w:smallCaps w:val="0"/>
          <w:strike w:val="0"/>
          <w:sz w:val="22"/>
          <w:u w:val="none"/>
        </w:rPr>
        <w:t xml:space="preserve">Siva </w:t>
      </w:r>
      <w:r>
        <w:rPr>
          <w:b/>
          <w:i w:val="0"/>
          <w:smallCaps w:val="0"/>
          <w:strike w:val="0"/>
          <w:sz w:val="24"/>
          <w:u w:val="none"/>
        </w:rPr>
        <w:t>Thambisetty</w:t>
      </w:r>
      <w:r>
        <w:rPr>
          <w:b w:val="0"/>
          <w:i w:val="0"/>
          <w:smallCaps w:val="0"/>
          <w:strike w:val="0"/>
          <w:sz w:val="22"/>
          <w:u w:val="none"/>
        </w:rPr>
        <w:t xml:space="preserve"> </w:t>
      </w:r>
      <w:r>
        <w:rPr>
          <w:b/>
          <w:i w:val="0"/>
          <w:smallCaps w:val="0"/>
          <w:strike w:val="0"/>
          <w:sz w:val="24"/>
          <w:u w:val="none"/>
        </w:rPr>
        <w:t>23</w:t>
      </w:r>
      <w:r>
        <w:rPr>
          <w:b w:val="0"/>
          <w:i w:val="0"/>
          <w:smallCaps w:val="0"/>
          <w:strike w:val="0"/>
          <w:sz w:val="22"/>
          <w:u w:val="none"/>
        </w:rPr>
        <w:t xml:space="preserve"> (</w:t>
      </w:r>
      <w:r>
        <w:rPr>
          <w:b w:val="0"/>
          <w:i w:val="0"/>
          <w:smallCaps w:val="0"/>
          <w:strike w:val="0"/>
          <w:sz w:val="22"/>
          <w:u w:val="none"/>
        </w:rPr>
        <w:t>Thambisetty</w:t>
      </w:r>
      <w:r>
        <w:rPr>
          <w:b w:val="0"/>
          <w:i w:val="0"/>
          <w:smallCaps w:val="0"/>
          <w:strike w:val="0"/>
          <w:sz w:val="22"/>
          <w:u w:val="none"/>
        </w:rPr>
        <w:t xml:space="preserve"> is </w:t>
      </w:r>
      <w:r>
        <w:rPr>
          <w:b w:val="0"/>
          <w:i w:val="0"/>
          <w:smallCaps w:val="0"/>
          <w:strike w:val="0"/>
          <w:sz w:val="22"/>
          <w:u w:val="none"/>
        </w:rPr>
        <w:t>Associate Professor of Law and the Law School, London School of Economics and Political Science. In 2022 she acted as Advisor to the G77+China group Chair’s Team at the Biodiversity Beyond National Jurisdiction Negotiations in 2022.</w:t>
      </w:r>
      <w:r>
        <w:rPr>
          <w:b w:val="0"/>
          <w:i w:val="0"/>
          <w:smallCaps w:val="0"/>
          <w:strike w:val="0"/>
          <w:sz w:val="22"/>
          <w:u w:val="none"/>
        </w:rPr>
        <w:t xml:space="preserve"> 11-1-2023;</w:t>
      </w:r>
      <w:r>
        <w:rPr>
          <w:b w:val="0"/>
          <w:i w:val="0"/>
          <w:smallCaps w:val="0"/>
          <w:strike w:val="0"/>
          <w:sz w:val="22"/>
          <w:u w:val="none"/>
        </w:rPr>
        <w:t xml:space="preserve"> "Termination of the TRIPS Agreement: Necessary </w:t>
      </w:r>
      <w:r>
        <w:rPr>
          <w:b w:val="0"/>
          <w:i w:val="0"/>
          <w:smallCaps w:val="0"/>
          <w:strike w:val="0"/>
          <w:sz w:val="22"/>
          <w:u w:val="none"/>
        </w:rPr>
        <w:t>And</w:t>
      </w:r>
      <w:r>
        <w:rPr>
          <w:b w:val="0"/>
          <w:i w:val="0"/>
          <w:smallCaps w:val="0"/>
          <w:strike w:val="0"/>
          <w:sz w:val="22"/>
          <w:u w:val="none"/>
        </w:rPr>
        <w:t xml:space="preserve"> Impossible", </w:t>
      </w:r>
      <w:r>
        <w:rPr>
          <w:b w:val="0"/>
          <w:i w:val="0"/>
          <w:smallCaps w:val="0"/>
          <w:strike w:val="0"/>
          <w:sz w:val="22"/>
          <w:u w:val="none"/>
        </w:rPr>
        <w:t>Opinio</w:t>
      </w:r>
      <w:r>
        <w:rPr>
          <w:b w:val="0"/>
          <w:i w:val="0"/>
          <w:smallCaps w:val="0"/>
          <w:strike w:val="0"/>
          <w:sz w:val="22"/>
          <w:u w:val="none"/>
        </w:rPr>
        <w:t xml:space="preserve"> Juris, https://opiniojuris.org/2023/01/11/termination-of-the-trips-agreement-necessary-and-impossible/</w:t>
      </w:r>
      <w:r>
        <w:rPr>
          <w:b w:val="0"/>
          <w:i w:val="0"/>
          <w:smallCaps w:val="0"/>
          <w:strike w:val="0"/>
          <w:sz w:val="22"/>
          <w:u w:val="none"/>
        </w:rPr>
        <w:t>//orakng)</w:t>
      </w:r>
    </w:p>
    <w:p>
      <w:pPr>
        <w:spacing w:after="60"/>
      </w:pPr>
      <w:r>
        <w:rPr>
          <w:b w:val="0"/>
          <w:i w:val="0"/>
          <w:smallCaps w:val="0"/>
          <w:strike w:val="0"/>
          <w:sz w:val="22"/>
          <w:highlight w:val="cyan"/>
          <w:u w:val="single"/>
        </w:rPr>
        <w:t>Public international</w:t>
      </w:r>
      <w:r>
        <w:rPr>
          <w:b w:val="0"/>
          <w:i w:val="0"/>
          <w:smallCaps w:val="0"/>
          <w:strike w:val="0"/>
          <w:sz w:val="22"/>
          <w:u w:val="single"/>
        </w:rPr>
        <w:t xml:space="preserve"> law interacts with intellectual property laws in numerous negotiating fora and intergovernmental </w:t>
      </w:r>
      <w:r>
        <w:rPr>
          <w:b w:val="0"/>
          <w:i w:val="0"/>
          <w:smallCaps w:val="0"/>
          <w:strike w:val="0"/>
          <w:sz w:val="22"/>
          <w:u w:val="single"/>
        </w:rPr>
        <w:t>organisations</w:t>
      </w:r>
      <w:r>
        <w:rPr>
          <w:b w:val="0"/>
          <w:i w:val="0"/>
          <w:smallCaps w:val="0"/>
          <w:strike w:val="0"/>
          <w:sz w:val="16"/>
          <w:u w:val="none"/>
        </w:rPr>
        <w:t xml:space="preserve">. I have long been envious of my public international law colleagues; their </w:t>
      </w:r>
      <w:r>
        <w:rPr>
          <w:b w:val="0"/>
          <w:i w:val="0"/>
          <w:smallCaps w:val="0"/>
          <w:strike w:val="0"/>
          <w:sz w:val="22"/>
          <w:u w:val="single"/>
        </w:rPr>
        <w:t xml:space="preserve">field </w:t>
      </w:r>
      <w:r>
        <w:rPr>
          <w:b w:val="0"/>
          <w:i w:val="0"/>
          <w:smallCaps w:val="0"/>
          <w:strike w:val="0"/>
          <w:sz w:val="22"/>
          <w:highlight w:val="cyan"/>
          <w:u w:val="single"/>
        </w:rPr>
        <w:t>has</w:t>
      </w:r>
      <w:r>
        <w:rPr>
          <w:b w:val="0"/>
          <w:i w:val="0"/>
          <w:smallCaps w:val="0"/>
          <w:strike w:val="0"/>
          <w:sz w:val="22"/>
          <w:u w:val="single"/>
        </w:rPr>
        <w:t xml:space="preserve"> been through many cycles of purposive meaning-making</w:t>
      </w:r>
      <w:r>
        <w:rPr>
          <w:b w:val="0"/>
          <w:i w:val="0"/>
          <w:smallCaps w:val="0"/>
          <w:strike w:val="0"/>
          <w:sz w:val="16"/>
          <w:u w:val="none"/>
        </w:rPr>
        <w:t xml:space="preserve">, including </w:t>
      </w:r>
      <w:r>
        <w:rPr>
          <w:b w:val="0"/>
          <w:i w:val="0"/>
          <w:smallCaps w:val="0"/>
          <w:strike w:val="0"/>
          <w:sz w:val="22"/>
          <w:u w:val="single"/>
        </w:rPr>
        <w:t xml:space="preserve">holding on to </w:t>
      </w:r>
      <w:r>
        <w:rPr>
          <w:b w:val="0"/>
          <w:i w:val="0"/>
          <w:smallCaps w:val="0"/>
          <w:strike w:val="0"/>
          <w:sz w:val="22"/>
          <w:highlight w:val="cyan"/>
          <w:u w:val="single"/>
        </w:rPr>
        <w:t xml:space="preserve">a sense of </w:t>
      </w:r>
      <w:r>
        <w:rPr>
          <w:b w:val="0"/>
          <w:i w:val="0"/>
          <w:smallCaps w:val="0"/>
          <w:strike w:val="0"/>
          <w:sz w:val="22"/>
          <w:highlight w:val="cyan"/>
          <w:u w:val="single"/>
        </w:rPr>
        <w:t>direction of the world order</w:t>
      </w:r>
      <w:r>
        <w:rPr>
          <w:b w:val="0"/>
          <w:i w:val="0"/>
          <w:smallCaps w:val="0"/>
          <w:strike w:val="0"/>
          <w:sz w:val="16"/>
          <w:u w:val="none"/>
        </w:rPr>
        <w:t>, and normative scholarship as a transformative project. In contrast</w:t>
      </w:r>
      <w:r>
        <w:rPr>
          <w:b w:val="0"/>
          <w:i w:val="0"/>
          <w:smallCaps w:val="0"/>
          <w:strike w:val="0"/>
          <w:sz w:val="22"/>
          <w:u w:val="single"/>
        </w:rPr>
        <w:t>, international intellectual property law has remained mired in its private law origins, unable or unwilling beyond some very important but limited pockets (see here and here), to confront how these rights work to entrench and enhance existing imbalances in wealth and power.</w:t>
      </w:r>
      <w:r>
        <w:rPr>
          <w:b w:val="0"/>
          <w:i w:val="0"/>
          <w:smallCaps w:val="0"/>
          <w:strike w:val="0"/>
          <w:sz w:val="16"/>
          <w:u w:val="none"/>
        </w:rPr>
        <w:t xml:space="preserve"> For this reason, </w:t>
      </w:r>
      <w:r>
        <w:rPr>
          <w:b w:val="0"/>
          <w:i w:val="0"/>
          <w:smallCaps w:val="0"/>
          <w:strike w:val="0"/>
          <w:sz w:val="22"/>
          <w:highlight w:val="cyan"/>
          <w:u w:val="single"/>
        </w:rPr>
        <w:t>it is significant that the first intervention</w:t>
      </w:r>
      <w:r>
        <w:rPr>
          <w:b w:val="0"/>
          <w:i w:val="0"/>
          <w:smallCaps w:val="0"/>
          <w:strike w:val="0"/>
          <w:sz w:val="22"/>
          <w:u w:val="single"/>
        </w:rPr>
        <w:t xml:space="preserve"> during the pandemic </w:t>
      </w:r>
      <w:r>
        <w:rPr>
          <w:b w:val="0"/>
          <w:i w:val="0"/>
          <w:smallCaps w:val="0"/>
          <w:strike w:val="0"/>
          <w:sz w:val="22"/>
          <w:highlight w:val="cyan"/>
          <w:u w:val="single"/>
        </w:rPr>
        <w:t>by an eminent public international lawyer is to call for a termination of the</w:t>
      </w:r>
      <w:r>
        <w:rPr>
          <w:b w:val="0"/>
          <w:i w:val="0"/>
          <w:smallCaps w:val="0"/>
          <w:strike w:val="0"/>
          <w:sz w:val="22"/>
          <w:u w:val="single"/>
        </w:rPr>
        <w:t xml:space="preserve"> Trade Related Intellectual Property Rights </w:t>
      </w:r>
      <w:r>
        <w:rPr>
          <w:b w:val="0"/>
          <w:i w:val="0"/>
          <w:smallCaps w:val="0"/>
          <w:strike w:val="0"/>
          <w:sz w:val="22"/>
          <w:highlight w:val="cyan"/>
          <w:u w:val="single"/>
        </w:rPr>
        <w:t>(TRIPS) Agreement</w:t>
      </w:r>
      <w:r>
        <w:rPr>
          <w:b w:val="0"/>
          <w:i w:val="0"/>
          <w:smallCaps w:val="0"/>
          <w:strike w:val="0"/>
          <w:sz w:val="16"/>
          <w:u w:val="none"/>
        </w:rPr>
        <w:t>.</w:t>
      </w:r>
    </w:p>
    <w:p>
      <w:pPr>
        <w:spacing w:after="60"/>
      </w:pPr>
      <w:r>
        <w:rPr>
          <w:b w:val="0"/>
          <w:i w:val="0"/>
          <w:smallCaps w:val="0"/>
          <w:strike w:val="0"/>
          <w:sz w:val="22"/>
          <w:highlight w:val="cyan"/>
          <w:u w:val="single"/>
        </w:rPr>
        <w:t>In her</w:t>
      </w:r>
      <w:r>
        <w:rPr>
          <w:b w:val="0"/>
          <w:i w:val="0"/>
          <w:smallCaps w:val="0"/>
          <w:strike w:val="0"/>
          <w:sz w:val="22"/>
          <w:u w:val="single"/>
        </w:rPr>
        <w:t xml:space="preserve"> </w:t>
      </w:r>
      <w:r>
        <w:rPr>
          <w:b w:val="0"/>
          <w:i w:val="0"/>
          <w:smallCaps w:val="0"/>
          <w:strike w:val="0"/>
          <w:sz w:val="16"/>
          <w:u w:val="none"/>
        </w:rPr>
        <w:t xml:space="preserve">elegantly pitched 2022 Annual Michael Kirby </w:t>
      </w:r>
      <w:r>
        <w:rPr>
          <w:b w:val="0"/>
          <w:i w:val="0"/>
          <w:smallCaps w:val="0"/>
          <w:strike w:val="0"/>
          <w:sz w:val="22"/>
          <w:highlight w:val="cyan"/>
          <w:u w:val="single"/>
        </w:rPr>
        <w:t>lecture</w:t>
      </w:r>
      <w:r>
        <w:rPr>
          <w:b w:val="0"/>
          <w:i w:val="0"/>
          <w:smallCaps w:val="0"/>
          <w:strike w:val="0"/>
          <w:sz w:val="22"/>
          <w:u w:val="single"/>
        </w:rPr>
        <w:t xml:space="preserve">, Prof </w:t>
      </w:r>
      <w:r>
        <w:rPr>
          <w:b w:val="0"/>
          <w:i w:val="0"/>
          <w:smallCaps w:val="0"/>
          <w:strike w:val="0"/>
          <w:sz w:val="22"/>
          <w:highlight w:val="cyan"/>
          <w:u w:val="single"/>
        </w:rPr>
        <w:t>Orford</w:t>
      </w:r>
      <w:r>
        <w:rPr>
          <w:b w:val="0"/>
          <w:i w:val="0"/>
          <w:smallCaps w:val="0"/>
          <w:strike w:val="0"/>
          <w:sz w:val="16"/>
          <w:u w:val="none"/>
        </w:rPr>
        <w:t xml:space="preserve"> raises the prospect of applying rebus sic stantibus, a </w:t>
      </w:r>
      <w:r>
        <w:rPr>
          <w:b w:val="0"/>
          <w:i w:val="0"/>
          <w:smallCaps w:val="0"/>
          <w:strike w:val="0"/>
          <w:sz w:val="22"/>
          <w:u w:val="single"/>
        </w:rPr>
        <w:t>modification of obligations initially assumed by parties to the TRIPS Agreement due to a change in material circumstances</w:t>
      </w:r>
      <w:r>
        <w:rPr>
          <w:b w:val="0"/>
          <w:i w:val="0"/>
          <w:smallCaps w:val="0"/>
          <w:strike w:val="0"/>
          <w:sz w:val="16"/>
          <w:u w:val="none"/>
        </w:rPr>
        <w:t xml:space="preserve">. Prof Orford </w:t>
      </w:r>
      <w:r>
        <w:rPr>
          <w:b w:val="0"/>
          <w:i w:val="0"/>
          <w:smallCaps w:val="0"/>
          <w:strike w:val="0"/>
          <w:sz w:val="22"/>
          <w:highlight w:val="cyan"/>
          <w:u w:val="single"/>
        </w:rPr>
        <w:t>pokes</w:t>
      </w:r>
      <w:r>
        <w:rPr>
          <w:b w:val="0"/>
          <w:i w:val="0"/>
          <w:smallCaps w:val="0"/>
          <w:strike w:val="0"/>
          <w:sz w:val="22"/>
          <w:u w:val="single"/>
        </w:rPr>
        <w:t xml:space="preserve"> substantive </w:t>
      </w:r>
      <w:r>
        <w:rPr>
          <w:b/>
          <w:i w:val="0"/>
          <w:smallCaps w:val="0"/>
          <w:strike w:val="0"/>
          <w:sz w:val="22"/>
          <w:highlight w:val="cyan"/>
          <w:u w:val="single"/>
        </w:rPr>
        <w:t>holes</w:t>
      </w:r>
      <w:r>
        <w:rPr>
          <w:b w:val="0"/>
          <w:i w:val="0"/>
          <w:smallCaps w:val="0"/>
          <w:strike w:val="0"/>
          <w:sz w:val="22"/>
          <w:highlight w:val="cyan"/>
          <w:u w:val="single"/>
        </w:rPr>
        <w:t xml:space="preserve"> at</w:t>
      </w:r>
      <w:r>
        <w:rPr>
          <w:b w:val="0"/>
          <w:i w:val="0"/>
          <w:smallCaps w:val="0"/>
          <w:strike w:val="0"/>
          <w:sz w:val="22"/>
          <w:u w:val="single"/>
        </w:rPr>
        <w:t xml:space="preserve"> the aura of </w:t>
      </w:r>
      <w:r>
        <w:rPr>
          <w:b/>
          <w:i w:val="0"/>
          <w:smallCaps w:val="0"/>
          <w:strike w:val="0"/>
          <w:sz w:val="22"/>
          <w:highlight w:val="cyan"/>
          <w:u w:val="single"/>
        </w:rPr>
        <w:t>solidity</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self-evidence with which the </w:t>
      </w:r>
      <w:r>
        <w:rPr>
          <w:b w:val="0"/>
          <w:i w:val="0"/>
          <w:smallCaps w:val="0"/>
          <w:strike w:val="0"/>
          <w:sz w:val="22"/>
          <w:highlight w:val="cyan"/>
          <w:u w:val="single"/>
        </w:rPr>
        <w:t>core elements of</w:t>
      </w:r>
      <w:r>
        <w:rPr>
          <w:b w:val="0"/>
          <w:i w:val="0"/>
          <w:smallCaps w:val="0"/>
          <w:strike w:val="0"/>
          <w:sz w:val="22"/>
          <w:u w:val="single"/>
        </w:rPr>
        <w:t xml:space="preserve"> the </w:t>
      </w:r>
      <w:r>
        <w:rPr>
          <w:b w:val="0"/>
          <w:i w:val="0"/>
          <w:smallCaps w:val="0"/>
          <w:strike w:val="0"/>
          <w:sz w:val="22"/>
          <w:highlight w:val="cyan"/>
          <w:u w:val="single"/>
        </w:rPr>
        <w:t>TRIPS agreement</w:t>
      </w:r>
      <w:r>
        <w:rPr>
          <w:b w:val="0"/>
          <w:i w:val="0"/>
          <w:smallCaps w:val="0"/>
          <w:strike w:val="0"/>
          <w:sz w:val="22"/>
          <w:u w:val="single"/>
        </w:rPr>
        <w:t xml:space="preserve"> are defended to show instead that </w:t>
      </w:r>
      <w:r>
        <w:rPr>
          <w:b w:val="0"/>
          <w:i w:val="0"/>
          <w:smallCaps w:val="0"/>
          <w:strike w:val="0"/>
          <w:sz w:val="22"/>
          <w:highlight w:val="cyan"/>
          <w:u w:val="single"/>
        </w:rPr>
        <w:t xml:space="preserve">the basis of the agreement is </w:t>
      </w:r>
      <w:r>
        <w:rPr>
          <w:b/>
          <w:i w:val="0"/>
          <w:smallCaps w:val="0"/>
          <w:strike w:val="0"/>
          <w:sz w:val="22"/>
          <w:highlight w:val="cyan"/>
          <w:u w:val="single"/>
        </w:rPr>
        <w:t>precarious</w:t>
      </w:r>
      <w:r>
        <w:rPr>
          <w:b w:val="0"/>
          <w:i w:val="0"/>
          <w:smallCaps w:val="0"/>
          <w:strike w:val="0"/>
          <w:sz w:val="22"/>
          <w:u w:val="single"/>
        </w:rPr>
        <w:t xml:space="preserve"> and historically contingent</w:t>
      </w:r>
      <w:r>
        <w:rPr>
          <w:b w:val="0"/>
          <w:i w:val="0"/>
          <w:smallCaps w:val="0"/>
          <w:strike w:val="0"/>
          <w:sz w:val="16"/>
          <w:u w:val="none"/>
        </w:rPr>
        <w:t xml:space="preserve">. From this perspective, the </w:t>
      </w:r>
      <w:r>
        <w:rPr>
          <w:b w:val="0"/>
          <w:i w:val="0"/>
          <w:smallCaps w:val="0"/>
          <w:strike w:val="0"/>
          <w:sz w:val="22"/>
          <w:u w:val="single"/>
        </w:rPr>
        <w:t>TRIPS waiver becomes a campaign against ‘false necessity’</w:t>
      </w:r>
      <w:r>
        <w:rPr>
          <w:b w:val="0"/>
          <w:i w:val="0"/>
          <w:smallCaps w:val="0"/>
          <w:strike w:val="0"/>
          <w:sz w:val="16"/>
          <w:u w:val="none"/>
        </w:rPr>
        <w:t xml:space="preserve"> – a recognition that the presuppositions of the international patent system are far from a natural order of things and is merely what we have ‘temporarily refrained from challenging and remaking’. </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