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China is the largest player in Counterfeiting – 1.5% of GDP depends on it</w:t>
      </w:r>
    </w:p>
    <w:p>
      <w:pPr>
        <w:spacing w:after="80"/>
      </w:pPr>
      <w:r>
        <w:rPr>
          <w:b w:val="0"/>
          <w:i w:val="0"/>
          <w:smallCaps w:val="0"/>
          <w:strike w:val="0"/>
          <w:sz w:val="22"/>
          <w:u w:val="none"/>
        </w:rPr>
        <w:t xml:space="preserve">Nick </w:t>
      </w:r>
      <w:r>
        <w:rPr>
          <w:b/>
          <w:i w:val="0"/>
          <w:smallCaps w:val="0"/>
          <w:strike w:val="0"/>
          <w:sz w:val="26"/>
          <w:u w:val="none"/>
        </w:rPr>
        <w:t>Redfearn, 22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Global head of enforcement at ROUSE, worked in IPR throughout the 1990s, does counterfeiting related work throughout China and SE Asia, “Cross-border trade in counterfeit </w:t>
      </w:r>
      <w:r>
        <w:rPr>
          <w:b w:val="0"/>
          <w:i w:val="0"/>
          <w:smallCaps w:val="0"/>
          <w:strike w:val="0"/>
          <w:sz w:val="22"/>
          <w:u w:val="none"/>
        </w:rPr>
        <w:t>goods“</w:t>
      </w:r>
      <w:r>
        <w:rPr>
          <w:b w:val="0"/>
          <w:i w:val="0"/>
          <w:smallCaps w:val="0"/>
          <w:strike w:val="0"/>
          <w:sz w:val="22"/>
          <w:u w:val="none"/>
        </w:rPr>
        <w:t>, ROUSE, 2-14-2022, https://rouse.com/insights/news/2021/cross-border-trade-in-counterfeit-goods. Accessed 7-24-2024 by NT-NDH.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China’s role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counterfeit trade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cannot be overstated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Counterfeit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good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from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China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estimated to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make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up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approximately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12</w:t>
      </w:r>
      <w:r>
        <w:rPr>
          <w:b/>
          <w:i w:val="0"/>
          <w:smallCaps w:val="0"/>
          <w:strike w:val="0"/>
          <w:sz w:val="22"/>
          <w:u w:val="single"/>
        </w:rPr>
        <w:t xml:space="preserve">.5 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%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of</w:t>
      </w:r>
      <w:r>
        <w:rPr>
          <w:b/>
          <w:i w:val="0"/>
          <w:smallCaps w:val="0"/>
          <w:strike w:val="0"/>
          <w:sz w:val="22"/>
          <w:u w:val="single"/>
        </w:rPr>
        <w:t xml:space="preserve"> China’s total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exports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over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1.5 %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of</w:t>
      </w:r>
      <w:r>
        <w:rPr>
          <w:b/>
          <w:i w:val="0"/>
          <w:smallCaps w:val="0"/>
          <w:strike w:val="0"/>
          <w:sz w:val="22"/>
          <w:u w:val="single"/>
        </w:rPr>
        <w:t xml:space="preserve"> its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GDP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Several comparative analyses rank the country as the primary source of global counterfeit goods (around 75% of all counterfeits worldwide).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Data now puts the value of the </w:t>
      </w:r>
      <w:r>
        <w:rPr>
          <w:b w:val="0"/>
          <w:i w:val="0"/>
          <w:smallCaps w:val="0"/>
          <w:strike w:val="0"/>
          <w:sz w:val="22"/>
          <w:u w:val="single"/>
        </w:rPr>
        <w:t>trade of counterfeit goods from China into SE Asia as approximately USD35 billion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volume poses significant harm to developing economies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within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sz w:val="16"/>
          <w:u w:val="none"/>
        </w:rPr>
        <w:t>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Asia where local businesses and investors suffer heavy losses from these activities.</w:t>
      </w:r>
    </w:p>
    <w:p>
      <w:pPr>
        <w:pStyle w:val="Caption"/>
      </w:pPr>
      <w:r>
        <w:t>Source: E-Commerce Supplement - Michigan 7 2024 FWZ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