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Most recent</w:t>
      </w:r>
      <w:r>
        <w:rPr>
          <w:b/>
          <w:i w:val="0"/>
          <w:smallCaps w:val="0"/>
          <w:strike w:val="0"/>
          <w:sz w:val="26"/>
          <w:u w:val="none"/>
        </w:rPr>
        <w:t xml:space="preserve"> court case </w:t>
      </w:r>
      <w:r>
        <w:rPr>
          <w:b/>
          <w:i w:val="0"/>
          <w:smallCaps w:val="0"/>
          <w:strike w:val="0"/>
          <w:sz w:val="26"/>
          <w:u w:val="single"/>
        </w:rPr>
        <w:t>proves</w:t>
      </w:r>
      <w:r>
        <w:rPr>
          <w:b/>
          <w:i w:val="0"/>
          <w:smallCaps w:val="0"/>
          <w:strike w:val="0"/>
          <w:sz w:val="26"/>
          <w:u w:val="none"/>
        </w:rPr>
        <w:t xml:space="preserve"> de minimis sales </w:t>
      </w:r>
      <w:r>
        <w:rPr>
          <w:b/>
          <w:i w:val="0"/>
          <w:smallCaps w:val="0"/>
          <w:strike w:val="0"/>
          <w:sz w:val="26"/>
          <w:u w:val="single"/>
        </w:rPr>
        <w:t>still</w:t>
      </w:r>
      <w:r>
        <w:rPr>
          <w:b/>
          <w:i w:val="0"/>
          <w:smallCaps w:val="0"/>
          <w:strike w:val="0"/>
          <w:sz w:val="26"/>
          <w:u w:val="none"/>
        </w:rPr>
        <w:t xml:space="preserve"> don’t cut it.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*T</w:t>
      </w:r>
      <w:r>
        <w:rPr>
          <w:b w:val="0"/>
          <w:i w:val="0"/>
          <w:smallCaps w:val="0"/>
          <w:strike w:val="0"/>
          <w:u w:val="none"/>
        </w:rPr>
        <w:t xml:space="preserve">he card is short because it’s a </w:t>
      </w:r>
      <w:r>
        <w:rPr>
          <w:b w:val="0"/>
          <w:i w:val="0"/>
          <w:smallCaps w:val="0"/>
          <w:strike w:val="0"/>
          <w:u w:val="none"/>
        </w:rPr>
        <w:t>61 page</w:t>
      </w:r>
      <w:r>
        <w:rPr>
          <w:b w:val="0"/>
          <w:i w:val="0"/>
          <w:smallCaps w:val="0"/>
          <w:strike w:val="0"/>
          <w:u w:val="none"/>
        </w:rPr>
        <w:t xml:space="preserve"> court brief – this is the important part</w:t>
      </w:r>
      <w:r>
        <w:rPr>
          <w:b w:val="0"/>
          <w:i w:val="0"/>
          <w:smallCaps w:val="0"/>
          <w:strike w:val="0"/>
          <w:u w:val="none"/>
        </w:rPr>
        <w:t>*</w:t>
      </w:r>
    </w:p>
    <w:p>
      <w:pPr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TTAB 17 </w:t>
      </w:r>
      <w:r>
        <w:rPr>
          <w:b w:val="0"/>
          <w:i w:val="0"/>
          <w:smallCaps w:val="0"/>
          <w:strike w:val="0"/>
          <w:sz w:val="16"/>
          <w:u w:val="none"/>
        </w:rPr>
        <w:t>– Trademark Trial and Appeal Board, 6-21-2017, " Executive Coach Builders, Inc. v. SPV Coach Company, Inc.,” Trademark Trial and Appeal Board, https://casetext.com/admin-law/executive-coach-builders-inc-v-spv-coach-company-inc /$</w:t>
      </w:r>
      <w:r>
        <w:rPr>
          <w:b w:val="0"/>
          <w:i w:val="0"/>
          <w:smallCaps w:val="0"/>
          <w:strike w:val="0"/>
          <w:sz w:val="16"/>
          <w:u w:val="none"/>
        </w:rPr>
        <w:t>antiP</w:t>
      </w:r>
      <w:r>
        <w:rPr>
          <w:b w:val="0"/>
          <w:i w:val="0"/>
          <w:smallCaps w:val="0"/>
          <w:strike w:val="0"/>
          <w:sz w:val="16"/>
          <w:u w:val="none"/>
        </w:rPr>
        <w:t>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Individually and collectively, </w:t>
      </w:r>
      <w:r>
        <w:rPr>
          <w:b w:val="0"/>
          <w:i w:val="0"/>
          <w:smallCaps w:val="0"/>
          <w:strike w:val="0"/>
          <w:highlight w:val="cyan"/>
          <w:u w:val="single"/>
        </w:rPr>
        <w:t>we find that</w:t>
      </w:r>
      <w:r>
        <w:rPr>
          <w:b w:val="0"/>
          <w:i w:val="0"/>
          <w:smallCaps w:val="0"/>
          <w:strike w:val="0"/>
          <w:u w:val="single"/>
        </w:rPr>
        <w:t xml:space="preserve"> these isolated and </w:t>
      </w:r>
      <w:r>
        <w:rPr>
          <w:b/>
          <w:i w:val="0"/>
          <w:smallCaps w:val="0"/>
          <w:strike w:val="0"/>
          <w:highlight w:val="cyan"/>
          <w:u w:val="single"/>
        </w:rPr>
        <w:t>de minimis uses</w:t>
      </w:r>
      <w:r>
        <w:rPr>
          <w:b w:val="0"/>
          <w:i w:val="0"/>
          <w:smallCaps w:val="0"/>
          <w:strike w:val="0"/>
          <w:u w:val="single"/>
        </w:rPr>
        <w:t xml:space="preserve">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ARMBRUSTER/STAGEWAY </w:t>
      </w:r>
      <w:r>
        <w:rPr>
          <w:b w:val="0"/>
          <w:i w:val="0"/>
          <w:smallCaps w:val="0"/>
          <w:strike w:val="0"/>
          <w:u w:val="single"/>
        </w:rPr>
        <w:t xml:space="preserve">mark other than on vehicles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highlight w:val="cyan"/>
          <w:u w:val="single"/>
        </w:rPr>
        <w:t>insufficient to constitute bona fide use</w:t>
      </w:r>
      <w:r>
        <w:rPr>
          <w:b w:val="0"/>
          <w:i w:val="0"/>
          <w:smallCaps w:val="0"/>
          <w:strike w:val="0"/>
          <w:u w:val="single"/>
        </w:rPr>
        <w:t xml:space="preserve"> of that mark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 the </w:t>
      </w:r>
      <w:r>
        <w:rPr>
          <w:b/>
          <w:i w:val="0"/>
          <w:smallCaps w:val="0"/>
          <w:strike w:val="0"/>
          <w:highlight w:val="cyan"/>
          <w:u w:val="single"/>
        </w:rPr>
        <w:t>ordinary course of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Fde Aff Updates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