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It’s the </w:t>
      </w:r>
      <w:r>
        <w:rPr>
          <w:b/>
          <w:i w:val="0"/>
          <w:smallCaps w:val="0"/>
          <w:strike w:val="0"/>
          <w:sz w:val="26"/>
          <w:u w:val="single"/>
        </w:rPr>
        <w:t>same</w:t>
      </w:r>
      <w:r>
        <w:rPr>
          <w:b/>
          <w:i w:val="0"/>
          <w:smallCaps w:val="0"/>
          <w:strike w:val="0"/>
          <w:sz w:val="26"/>
          <w:u w:val="none"/>
        </w:rPr>
        <w:t xml:space="preserve"> situation as </w:t>
      </w:r>
      <w:r>
        <w:rPr>
          <w:b/>
          <w:i/>
          <w:smallCaps w:val="0"/>
          <w:strike w:val="0"/>
          <w:sz w:val="26"/>
          <w:u w:val="none"/>
        </w:rPr>
        <w:t>CFFC v. Adidas</w:t>
      </w:r>
      <w:r>
        <w:rPr>
          <w:b/>
          <w:i w:val="0"/>
          <w:smallCaps w:val="0"/>
          <w:strike w:val="0"/>
          <w:sz w:val="26"/>
          <w:u w:val="none"/>
        </w:rPr>
        <w:t xml:space="preserve"> but </w:t>
      </w:r>
      <w:r>
        <w:rPr>
          <w:b/>
          <w:i w:val="0"/>
          <w:smallCaps w:val="0"/>
          <w:strike w:val="0"/>
          <w:sz w:val="26"/>
          <w:u w:val="single"/>
        </w:rPr>
        <w:t>more</w:t>
      </w:r>
      <w:r>
        <w:rPr>
          <w:b/>
          <w:i w:val="0"/>
          <w:smallCaps w:val="0"/>
          <w:strike w:val="0"/>
          <w:sz w:val="26"/>
          <w:u w:val="none"/>
        </w:rPr>
        <w:t xml:space="preserve"> recent – prefer our evidence.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*Not a huge reason to read this unless they say your evidence isn’t about theirs*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TTAB 17</w:t>
      </w:r>
      <w:r>
        <w:rPr>
          <w:b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– Trademark Trial and Appeal Board, 6-21-2017, " Executive Coach Builders, Inc. v. SPV Coach Company, Inc.,” Trademark Trial and Appeal Board, https://casetext.com/admin-law/executive-coach-builders-inc-v-spv-coach-company-inc /$</w:t>
      </w:r>
      <w:r>
        <w:rPr>
          <w:b w:val="0"/>
          <w:i w:val="0"/>
          <w:smallCaps w:val="0"/>
          <w:strike w:val="0"/>
          <w:sz w:val="16"/>
          <w:u w:val="none"/>
        </w:rPr>
        <w:t>antiP</w:t>
      </w:r>
      <w:r>
        <w:rPr>
          <w:b w:val="0"/>
          <w:i w:val="0"/>
          <w:smallCaps w:val="0"/>
          <w:strike w:val="0"/>
          <w:sz w:val="16"/>
          <w:u w:val="none"/>
        </w:rPr>
        <w:t>/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SPV C</w:t>
      </w:r>
      <w:r>
        <w:rPr>
          <w:b w:val="0"/>
          <w:i w:val="0"/>
          <w:smallCaps w:val="0"/>
          <w:strike w:val="0"/>
          <w:u w:val="single"/>
        </w:rPr>
        <w:t xml:space="preserve">oach </w:t>
      </w:r>
      <w:r>
        <w:rPr>
          <w:b w:val="0"/>
          <w:i w:val="0"/>
          <w:smallCaps w:val="0"/>
          <w:strike w:val="0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u w:val="single"/>
        </w:rPr>
        <w:t xml:space="preserve">ompany, </w:t>
      </w:r>
      <w:r>
        <w:rPr>
          <w:b w:val="0"/>
          <w:i w:val="0"/>
          <w:smallCaps w:val="0"/>
          <w:strike w:val="0"/>
          <w:highlight w:val="cyan"/>
          <w:u w:val="single"/>
        </w:rPr>
        <w:t>Inc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(“Applicant”)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seeks to register</w:t>
      </w:r>
      <w:r>
        <w:rPr>
          <w:b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highlight w:val="cyan"/>
          <w:u w:val="single"/>
        </w:rPr>
        <w:t>mark</w:t>
      </w:r>
      <w:r>
        <w:rPr>
          <w:b w:val="0"/>
          <w:i w:val="0"/>
          <w:smallCaps w:val="0"/>
          <w:strike w:val="0"/>
          <w:u w:val="single"/>
        </w:rPr>
        <w:t xml:space="preserve"> ARMBRUSTER STAGEWAY </w:t>
      </w:r>
      <w:r>
        <w:rPr>
          <w:b w:val="0"/>
          <w:i w:val="0"/>
          <w:smallCaps w:val="0"/>
          <w:strike w:val="0"/>
          <w:sz w:val="16"/>
          <w:u w:val="none"/>
        </w:rPr>
        <w:t>(in standard characters)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u w:val="single"/>
        </w:rPr>
        <w:t xml:space="preserve"> the Principal Register for “</w:t>
      </w:r>
      <w:r>
        <w:rPr>
          <w:b w:val="0"/>
          <w:i w:val="0"/>
          <w:smallCaps w:val="0"/>
          <w:strike w:val="0"/>
          <w:highlight w:val="cyan"/>
          <w:u w:val="single"/>
        </w:rPr>
        <w:t>vehicles</w:t>
      </w:r>
      <w:r>
        <w:rPr>
          <w:b w:val="0"/>
          <w:i w:val="0"/>
          <w:smallCaps w:val="0"/>
          <w:strike w:val="0"/>
          <w:u w:val="single"/>
        </w:rPr>
        <w:t xml:space="preserve">, namely, customized limousines” in International Class </w:t>
      </w:r>
      <w:r>
        <w:rPr>
          <w:b w:val="0"/>
          <w:i w:val="0"/>
          <w:smallCaps w:val="0"/>
          <w:strike w:val="0"/>
          <w:sz w:val="16"/>
          <w:u w:val="none"/>
        </w:rPr>
        <w:t>12.1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E</w:t>
      </w:r>
      <w:r>
        <w:rPr>
          <w:b w:val="0"/>
          <w:i w:val="0"/>
          <w:smallCaps w:val="0"/>
          <w:strike w:val="0"/>
          <w:u w:val="single"/>
        </w:rPr>
        <w:t xml:space="preserve">xecutive </w:t>
      </w:r>
      <w:r>
        <w:rPr>
          <w:b w:val="0"/>
          <w:i w:val="0"/>
          <w:smallCaps w:val="0"/>
          <w:strike w:val="0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u w:val="single"/>
        </w:rPr>
        <w:t xml:space="preserve">oach </w:t>
      </w:r>
      <w:r>
        <w:rPr>
          <w:b w:val="0"/>
          <w:i w:val="0"/>
          <w:smallCaps w:val="0"/>
          <w:strike w:val="0"/>
          <w:highlight w:val="cyan"/>
          <w:u w:val="single"/>
        </w:rPr>
        <w:t>B</w:t>
      </w:r>
      <w:r>
        <w:rPr>
          <w:b w:val="0"/>
          <w:i w:val="0"/>
          <w:smallCaps w:val="0"/>
          <w:strike w:val="0"/>
          <w:u w:val="single"/>
        </w:rPr>
        <w:t xml:space="preserve">uilders, </w:t>
      </w:r>
      <w:r>
        <w:rPr>
          <w:b w:val="0"/>
          <w:i w:val="0"/>
          <w:smallCaps w:val="0"/>
          <w:strike w:val="0"/>
          <w:highlight w:val="cyan"/>
          <w:u w:val="single"/>
        </w:rPr>
        <w:t>Inc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(“Opposer”)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opposes registration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under Section 2(d) of the Trademark Act, 15 U.S.C. § 1052(d), </w:t>
      </w:r>
      <w:r>
        <w:rPr>
          <w:b w:val="0"/>
          <w:i w:val="0"/>
          <w:smallCaps w:val="0"/>
          <w:strike w:val="0"/>
          <w:u w:val="single"/>
        </w:rPr>
        <w:t xml:space="preserve">asserting priority and a likelihood of confusion with its pleaded common-law mark </w:t>
      </w:r>
      <w:r>
        <w:rPr>
          <w:b w:val="0"/>
          <w:i w:val="0"/>
          <w:smallCaps w:val="0"/>
          <w:strike w:val="0"/>
          <w:sz w:val="16"/>
          <w:u w:val="none"/>
        </w:rPr>
        <w:t>ARMBRUSTER/STAGEWAY,</w:t>
      </w:r>
      <w:r>
        <w:rPr>
          <w:b w:val="0"/>
          <w:i w:val="0"/>
          <w:smallCaps w:val="0"/>
          <w:strike w:val="0"/>
          <w:u w:val="single"/>
        </w:rPr>
        <w:t xml:space="preserve"> which, as can be seen, differs from Applicant’s mark by the use of a forward slash, rather than a space, between the two words. </w:t>
      </w:r>
      <w:r>
        <w:rPr>
          <w:b w:val="0"/>
          <w:i w:val="0"/>
          <w:smallCaps w:val="0"/>
          <w:strike w:val="0"/>
          <w:highlight w:val="cyan"/>
          <w:u w:val="single"/>
        </w:rPr>
        <w:t>Applicant</w:t>
      </w:r>
      <w:r>
        <w:rPr>
          <w:b w:val="0"/>
          <w:i w:val="0"/>
          <w:smallCaps w:val="0"/>
          <w:strike w:val="0"/>
          <w:u w:val="single"/>
        </w:rPr>
        <w:t xml:space="preserve">, in turn, </w:t>
      </w:r>
      <w:r>
        <w:rPr>
          <w:b/>
          <w:i w:val="0"/>
          <w:smallCaps w:val="0"/>
          <w:strike w:val="0"/>
          <w:highlight w:val="cyan"/>
          <w:u w:val="single"/>
        </w:rPr>
        <w:t>asserts</w:t>
      </w:r>
      <w:r>
        <w:rPr>
          <w:b/>
          <w:i w:val="0"/>
          <w:smallCaps w:val="0"/>
          <w:strike w:val="0"/>
          <w:u w:val="single"/>
        </w:rPr>
        <w:t xml:space="preserve"> as an affirmative defense </w:t>
      </w:r>
      <w:r>
        <w:rPr>
          <w:b/>
          <w:i w:val="0"/>
          <w:smallCaps w:val="0"/>
          <w:strike w:val="0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Opposer</w:t>
      </w:r>
      <w:r>
        <w:rPr>
          <w:b/>
          <w:i w:val="0"/>
          <w:smallCaps w:val="0"/>
          <w:strike w:val="0"/>
          <w:u w:val="single"/>
        </w:rPr>
        <w:t xml:space="preserve"> “</w:t>
      </w:r>
      <w:r>
        <w:rPr>
          <w:b/>
          <w:i w:val="0"/>
          <w:smallCaps w:val="0"/>
          <w:strike w:val="0"/>
          <w:highlight w:val="cyan"/>
          <w:u w:val="single"/>
        </w:rPr>
        <w:t>has abandoned its</w:t>
      </w:r>
      <w:r>
        <w:rPr>
          <w:b w:val="0"/>
          <w:i w:val="0"/>
          <w:smallCaps w:val="0"/>
          <w:strike w:val="0"/>
          <w:u w:val="single"/>
        </w:rPr>
        <w:t xml:space="preserve"> ARMBRUSTER/STAGEWAY </w:t>
      </w:r>
      <w:r>
        <w:rPr>
          <w:b/>
          <w:i w:val="0"/>
          <w:smallCaps w:val="0"/>
          <w:strike w:val="0"/>
          <w:highlight w:val="cyan"/>
          <w:u w:val="single"/>
        </w:rPr>
        <w:t>mark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and is </w:t>
      </w:r>
      <w:r>
        <w:rPr>
          <w:b/>
          <w:i w:val="0"/>
          <w:smallCaps w:val="0"/>
          <w:strike w:val="0"/>
          <w:highlight w:val="cyan"/>
          <w:u w:val="single"/>
        </w:rPr>
        <w:t>without valid rights</w:t>
      </w:r>
      <w:r>
        <w:rPr>
          <w:b/>
          <w:i w:val="0"/>
          <w:smallCaps w:val="0"/>
          <w:strike w:val="0"/>
          <w:u w:val="single"/>
        </w:rPr>
        <w:t xml:space="preserve"> upon</w:t>
      </w:r>
      <w:r>
        <w:rPr>
          <w:b w:val="0"/>
          <w:i w:val="0"/>
          <w:smallCaps w:val="0"/>
          <w:strike w:val="0"/>
          <w:u w:val="single"/>
        </w:rPr>
        <w:t xml:space="preserve"> which it may state a claim upon which relief can be granted.</w:t>
      </w:r>
      <w:r>
        <w:rPr>
          <w:b w:val="0"/>
          <w:i w:val="0"/>
          <w:smallCaps w:val="0"/>
          <w:strike w:val="0"/>
          <w:sz w:val="16"/>
          <w:u w:val="none"/>
        </w:rPr>
        <w:t>”2 The parties in this opposition are secondary manufacturers of the types of specialty vehicles at issue in this case – stretch limousines and hearses, for the VIP and funeral markets – made from vehicle chassis manufactured by others, such as Cadillacs and Lincolns.</w:t>
      </w:r>
    </w:p>
    <w:p>
      <w:pPr>
        <w:pStyle w:val="Caption"/>
      </w:pPr>
      <w:r>
        <w:t>Source: Bona Fde Aff Updates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