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Most recent</w:t>
      </w:r>
      <w:r>
        <w:rPr>
          <w:b/>
          <w:i w:val="0"/>
          <w:smallCaps w:val="0"/>
          <w:strike w:val="0"/>
          <w:sz w:val="26"/>
          <w:u w:val="none"/>
        </w:rPr>
        <w:t xml:space="preserve"> court case </w:t>
      </w:r>
      <w:r>
        <w:rPr>
          <w:b/>
          <w:i w:val="0"/>
          <w:smallCaps w:val="0"/>
          <w:strike w:val="0"/>
          <w:sz w:val="26"/>
          <w:u w:val="single"/>
        </w:rPr>
        <w:t>proves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/>
          <w:smallCaps w:val="0"/>
          <w:strike w:val="0"/>
          <w:sz w:val="26"/>
          <w:u w:val="none"/>
        </w:rPr>
        <w:t>CFFC v. Adidas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isn’t</w:t>
      </w:r>
      <w:r>
        <w:rPr>
          <w:b/>
          <w:i w:val="0"/>
          <w:smallCaps w:val="0"/>
          <w:strike w:val="0"/>
          <w:sz w:val="26"/>
          <w:u w:val="none"/>
        </w:rPr>
        <w:t xml:space="preserve"> applicable</w:t>
      </w:r>
      <w:r>
        <w:rPr>
          <w:b/>
          <w:i w:val="0"/>
          <w:smallCaps w:val="0"/>
          <w:strike w:val="0"/>
          <w:sz w:val="26"/>
          <w:u w:val="none"/>
        </w:rPr>
        <w:t xml:space="preserve"> – it was about </w:t>
      </w:r>
      <w:r>
        <w:rPr>
          <w:b/>
          <w:i w:val="0"/>
          <w:smallCaps w:val="0"/>
          <w:strike w:val="0"/>
          <w:sz w:val="26"/>
          <w:u w:val="single"/>
        </w:rPr>
        <w:t>what</w:t>
      </w:r>
      <w:r>
        <w:rPr>
          <w:b/>
          <w:i w:val="0"/>
          <w:smallCaps w:val="0"/>
          <w:strike w:val="0"/>
          <w:sz w:val="26"/>
          <w:u w:val="none"/>
        </w:rPr>
        <w:t xml:space="preserve"> could get regulated by Congress, </w:t>
      </w:r>
      <w:r>
        <w:rPr>
          <w:b/>
          <w:i w:val="0"/>
          <w:smallCaps w:val="0"/>
          <w:strike w:val="0"/>
          <w:sz w:val="26"/>
          <w:u w:val="single"/>
        </w:rPr>
        <w:t>not</w:t>
      </w:r>
      <w:r>
        <w:rPr>
          <w:b/>
          <w:i w:val="0"/>
          <w:smallCaps w:val="0"/>
          <w:strike w:val="0"/>
          <w:sz w:val="26"/>
          <w:u w:val="none"/>
        </w:rPr>
        <w:t xml:space="preserve"> trademarks.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</w:t>
      </w:r>
      <w:r>
        <w:rPr>
          <w:b w:val="0"/>
          <w:i/>
          <w:smallCaps w:val="0"/>
          <w:strike w:val="0"/>
          <w:u w:val="none"/>
        </w:rPr>
        <w:t>CFFC v. Adidas</w:t>
      </w:r>
      <w:r>
        <w:rPr>
          <w:b w:val="0"/>
          <w:i w:val="0"/>
          <w:smallCaps w:val="0"/>
          <w:strike w:val="0"/>
          <w:u w:val="none"/>
        </w:rPr>
        <w:t xml:space="preserve"> was not about trademarks, just what could get regulated by Congress*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USPTO 23 </w:t>
      </w:r>
      <w:r>
        <w:rPr>
          <w:b w:val="0"/>
          <w:i w:val="0"/>
          <w:smallCaps w:val="0"/>
          <w:strike w:val="0"/>
          <w:sz w:val="16"/>
          <w:u w:val="none"/>
        </w:rPr>
        <w:t>– United States Patent and Trademark Office, 11-1-2023, " Adamson Systems Engineering, Inc. v. Peavey Electronics Corporation", Trademark Trial and Appeal Board, https://ttabvue.uspto.gov/ttabvue/ttabvue-92076586-CAN-51.pdf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Respondent </w:t>
      </w:r>
      <w:r>
        <w:rPr>
          <w:b/>
          <w:i w:val="0"/>
          <w:smallCaps w:val="0"/>
          <w:strike w:val="0"/>
          <w:highlight w:val="cyan"/>
          <w:u w:val="single"/>
        </w:rPr>
        <w:t>tries to liken</w:t>
      </w:r>
      <w:r>
        <w:rPr>
          <w:b/>
          <w:i w:val="0"/>
          <w:smallCaps w:val="0"/>
          <w:strike w:val="0"/>
          <w:u w:val="single"/>
        </w:rPr>
        <w:t xml:space="preserve"> its </w:t>
      </w:r>
      <w:r>
        <w:rPr>
          <w:b/>
          <w:i w:val="0"/>
          <w:smallCaps w:val="0"/>
          <w:strike w:val="0"/>
          <w:highlight w:val="cyan"/>
          <w:u w:val="single"/>
        </w:rPr>
        <w:t>de minimis</w:t>
      </w:r>
      <w:r>
        <w:rPr>
          <w:b/>
          <w:i w:val="0"/>
          <w:smallCaps w:val="0"/>
          <w:strike w:val="0"/>
          <w:u w:val="single"/>
        </w:rPr>
        <w:t xml:space="preserve"> domestic </w:t>
      </w:r>
      <w:r>
        <w:rPr>
          <w:b/>
          <w:i w:val="0"/>
          <w:smallCaps w:val="0"/>
          <w:strike w:val="0"/>
          <w:highlight w:val="cyan"/>
          <w:u w:val="single"/>
        </w:rPr>
        <w:t>sales</w:t>
      </w:r>
      <w:r>
        <w:rPr>
          <w:b w:val="0"/>
          <w:i w:val="0"/>
          <w:smallCaps w:val="0"/>
          <w:strike w:val="0"/>
          <w:u w:val="single"/>
        </w:rPr>
        <w:t xml:space="preserve"> from 2016-2021 </w:t>
      </w:r>
      <w:r>
        <w:rPr>
          <w:b/>
          <w:i w:val="0"/>
          <w:smallCaps w:val="0"/>
          <w:strike w:val="0"/>
          <w:highlight w:val="cyan"/>
          <w:u w:val="single"/>
        </w:rPr>
        <w:t>to C</w:t>
      </w:r>
      <w:r>
        <w:rPr>
          <w:b/>
          <w:i w:val="0"/>
          <w:smallCaps w:val="0"/>
          <w:strike w:val="0"/>
          <w:u w:val="single"/>
        </w:rPr>
        <w:t xml:space="preserve">hristian </w:t>
      </w:r>
      <w:r>
        <w:rPr>
          <w:b/>
          <w:i w:val="0"/>
          <w:smallCaps w:val="0"/>
          <w:strike w:val="0"/>
          <w:highlight w:val="cyan"/>
          <w:u w:val="single"/>
        </w:rPr>
        <w:t>F</w:t>
      </w:r>
      <w:r>
        <w:rPr>
          <w:b/>
          <w:i w:val="0"/>
          <w:smallCaps w:val="0"/>
          <w:strike w:val="0"/>
          <w:u w:val="single"/>
        </w:rPr>
        <w:t xml:space="preserve">aith </w:t>
      </w:r>
      <w:r>
        <w:rPr>
          <w:b/>
          <w:i w:val="0"/>
          <w:smallCaps w:val="0"/>
          <w:strike w:val="0"/>
          <w:highlight w:val="cyan"/>
          <w:u w:val="single"/>
        </w:rPr>
        <w:t>F</w:t>
      </w:r>
      <w:r>
        <w:rPr>
          <w:b/>
          <w:i w:val="0"/>
          <w:smallCaps w:val="0"/>
          <w:strike w:val="0"/>
          <w:u w:val="single"/>
        </w:rPr>
        <w:t xml:space="preserve">ellowship </w:t>
      </w:r>
      <w:r>
        <w:rPr>
          <w:b/>
          <w:i w:val="0"/>
          <w:smallCaps w:val="0"/>
          <w:strike w:val="0"/>
          <w:highlight w:val="cyan"/>
          <w:u w:val="single"/>
        </w:rPr>
        <w:t>C</w:t>
      </w:r>
      <w:r>
        <w:rPr>
          <w:b/>
          <w:i w:val="0"/>
          <w:smallCaps w:val="0"/>
          <w:strike w:val="0"/>
          <w:u w:val="single"/>
        </w:rPr>
        <w:t xml:space="preserve">hurch </w:t>
      </w:r>
      <w:r>
        <w:rPr>
          <w:b/>
          <w:i w:val="0"/>
          <w:smallCaps w:val="0"/>
          <w:strike w:val="0"/>
          <w:highlight w:val="cyan"/>
          <w:u w:val="single"/>
        </w:rPr>
        <w:t>v.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Adidas</w:t>
      </w:r>
      <w:r>
        <w:rPr>
          <w:b w:val="0"/>
          <w:i w:val="0"/>
          <w:smallCaps w:val="0"/>
          <w:strike w:val="0"/>
          <w:u w:val="single"/>
        </w:rPr>
        <w:t>, where a church’s pre-registration sale of two hats bearing its mark sufficed to support registration of the mar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k.83 As Petitioner correctly observes, however, </w:t>
      </w:r>
      <w:r>
        <w:rPr>
          <w:b/>
          <w:i w:val="0"/>
          <w:smallCaps w:val="0"/>
          <w:strike w:val="0"/>
          <w:highlight w:val="cyan"/>
          <w:u w:val="single"/>
        </w:rPr>
        <w:t>that case did not concern abandonment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 scope of commerce</w:t>
      </w:r>
      <w:r>
        <w:rPr>
          <w:b/>
          <w:i w:val="0"/>
          <w:smallCaps w:val="0"/>
          <w:strike w:val="0"/>
          <w:u w:val="single"/>
        </w:rPr>
        <w:t xml:space="preserve"> that may be </w:t>
      </w:r>
      <w:r>
        <w:rPr>
          <w:b/>
          <w:i w:val="0"/>
          <w:smallCaps w:val="0"/>
          <w:strike w:val="0"/>
          <w:highlight w:val="cyan"/>
          <w:u w:val="single"/>
        </w:rPr>
        <w:t>regulated by</w:t>
      </w:r>
      <w:r>
        <w:rPr>
          <w:b/>
          <w:i w:val="0"/>
          <w:smallCaps w:val="0"/>
          <w:strike w:val="0"/>
          <w:u w:val="single"/>
        </w:rPr>
        <w:t xml:space="preserve"> the U.S. </w:t>
      </w:r>
      <w:r>
        <w:rPr>
          <w:b/>
          <w:i w:val="0"/>
          <w:smallCaps w:val="0"/>
          <w:strike w:val="0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.84 Christian Faith Fellowship Church v. Adidas AG, 841 F.3d 986, 120 USPQ2d 1640 (Fed. Cir. 2016); </w:t>
      </w:r>
      <w:r>
        <w:rPr>
          <w:b w:val="0"/>
          <w:i w:val="0"/>
          <w:smallCaps w:val="0"/>
          <w:strike w:val="0"/>
          <w:sz w:val="16"/>
          <w:u w:val="none"/>
        </w:rPr>
        <w:t>Ahal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Al-Sara Group for Trading v. American Flash, Inc., 2023 USPQ2d 79, *7-8 (TTAB 2023). Respondent’s sales to dealers in the United States and Puerto Rico fall within that scope, but from 2016-2021, fell to de minimis or zero, year to year.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