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 </w:t>
      </w:r>
      <w:r>
        <w:rPr>
          <w:b/>
          <w:i w:val="0"/>
          <w:smallCaps w:val="0"/>
          <w:strike w:val="0"/>
          <w:sz w:val="26"/>
          <w:u w:val="single"/>
        </w:rPr>
        <w:t>misconstrue</w:t>
      </w:r>
      <w:r>
        <w:rPr>
          <w:b/>
          <w:i w:val="0"/>
          <w:smallCaps w:val="0"/>
          <w:strike w:val="0"/>
          <w:sz w:val="26"/>
          <w:u w:val="none"/>
        </w:rPr>
        <w:t xml:space="preserve"> what </w:t>
      </w:r>
      <w:r>
        <w:rPr>
          <w:b/>
          <w:i/>
          <w:smallCaps w:val="0"/>
          <w:strike w:val="0"/>
          <w:sz w:val="26"/>
          <w:u w:val="none"/>
        </w:rPr>
        <w:t>de minimis</w:t>
      </w:r>
      <w:r>
        <w:rPr>
          <w:b/>
          <w:i w:val="0"/>
          <w:smallCaps w:val="0"/>
          <w:strike w:val="0"/>
          <w:sz w:val="26"/>
          <w:u w:val="none"/>
        </w:rPr>
        <w:t xml:space="preserve"> is in the context of – the case </w:t>
      </w:r>
      <w:r>
        <w:rPr>
          <w:b/>
          <w:i w:val="0"/>
          <w:smallCaps w:val="0"/>
          <w:strike w:val="0"/>
          <w:sz w:val="26"/>
          <w:u w:val="single"/>
        </w:rPr>
        <w:t>they</w:t>
      </w:r>
      <w:r>
        <w:rPr>
          <w:b/>
          <w:i w:val="0"/>
          <w:smallCaps w:val="0"/>
          <w:strike w:val="0"/>
          <w:sz w:val="26"/>
          <w:u w:val="none"/>
        </w:rPr>
        <w:t xml:space="preserve"> cite is about Congress being able to regulate </w:t>
      </w:r>
      <w:r>
        <w:rPr>
          <w:b/>
          <w:i w:val="0"/>
          <w:smallCaps w:val="0"/>
          <w:strike w:val="0"/>
          <w:sz w:val="26"/>
          <w:u w:val="single"/>
        </w:rPr>
        <w:t>illegal sales</w:t>
      </w:r>
      <w:r>
        <w:rPr>
          <w:b/>
          <w:i w:val="0"/>
          <w:smallCaps w:val="0"/>
          <w:strike w:val="0"/>
          <w:sz w:val="26"/>
          <w:u w:val="none"/>
        </w:rPr>
        <w:t xml:space="preserve"> of marijuana NOT trademarks.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</w:t>
      </w:r>
      <w:r>
        <w:rPr>
          <w:b w:val="0"/>
          <w:i w:val="0"/>
          <w:smallCaps w:val="0"/>
          <w:strike w:val="0"/>
          <w:u w:val="none"/>
        </w:rPr>
        <w:t>Again</w:t>
      </w:r>
      <w:r>
        <w:rPr>
          <w:b w:val="0"/>
          <w:i w:val="0"/>
          <w:smallCaps w:val="0"/>
          <w:strike w:val="0"/>
          <w:u w:val="none"/>
        </w:rPr>
        <w:t xml:space="preserve"> not the most useful given the card at the top but still good for context to NEG arguments*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Weinberg 17 </w:t>
      </w:r>
      <w:r>
        <w:rPr>
          <w:b w:val="0"/>
          <w:i w:val="0"/>
          <w:smallCaps w:val="0"/>
          <w:strike w:val="0"/>
          <w:sz w:val="16"/>
          <w:u w:val="none"/>
        </w:rPr>
        <w:t>– Peter Weinberg, 7-1-2017, "Use in commerce for federal trademark registration: the Federal Circuit slowly moves towards the Supreme Court", No Publication, https://casetext.com/analysis/use-in-commerce-for-federal-trademark-registration-the-federal-circuit-slowly-moves-towards-the-supreme-court?sort=relevance&amp;resultsNav=false&amp;q=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In Gonzales v. Raich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the Court upheld</w:t>
      </w:r>
      <w:r>
        <w:rPr>
          <w:b/>
          <w:i w:val="0"/>
          <w:smallCaps w:val="0"/>
          <w:strike w:val="0"/>
          <w:u w:val="single"/>
        </w:rPr>
        <w:t xml:space="preserve"> the federal </w:t>
      </w:r>
      <w:r>
        <w:rPr>
          <w:b/>
          <w:i w:val="0"/>
          <w:smallCaps w:val="0"/>
          <w:strike w:val="0"/>
          <w:highlight w:val="cyan"/>
          <w:u w:val="single"/>
        </w:rPr>
        <w:t>prohibition of marijuana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under</w:t>
      </w:r>
      <w:r>
        <w:rPr>
          <w:b w:val="0"/>
          <w:i w:val="0"/>
          <w:smallCaps w:val="0"/>
          <w:strike w:val="0"/>
          <w:u w:val="single"/>
        </w:rPr>
        <w:t xml:space="preserve"> Congress’ </w:t>
      </w:r>
      <w:r>
        <w:rPr>
          <w:b w:val="0"/>
          <w:i w:val="0"/>
          <w:smallCaps w:val="0"/>
          <w:strike w:val="0"/>
          <w:highlight w:val="cyan"/>
          <w:u w:val="single"/>
        </w:rPr>
        <w:t>Commerce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Clause</w:t>
      </w:r>
      <w:r>
        <w:rPr>
          <w:b w:val="0"/>
          <w:i w:val="0"/>
          <w:smallCaps w:val="0"/>
          <w:strike w:val="0"/>
          <w:u w:val="single"/>
        </w:rPr>
        <w:t xml:space="preserve">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as to a medical marijuana patient who grew marijuana for her own use and not for sale or distribution to </w:t>
      </w:r>
      <w:r>
        <w:rPr>
          <w:b w:val="0"/>
          <w:i w:val="0"/>
          <w:smallCaps w:val="0"/>
          <w:strike w:val="0"/>
          <w:sz w:val="16"/>
          <w:u w:val="none"/>
        </w:rPr>
        <w:t>anyone.See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545 U.S. 1, 1-10 (2005). </w:t>
      </w:r>
      <w:r>
        <w:rPr>
          <w:b w:val="0"/>
          <w:i w:val="0"/>
          <w:smallCaps w:val="0"/>
          <w:strike w:val="0"/>
          <w:u w:val="single"/>
        </w:rPr>
        <w:t xml:space="preserve">The Court explained that </w:t>
      </w:r>
      <w:r>
        <w:rPr>
          <w:b/>
          <w:i w:val="0"/>
          <w:smallCaps w:val="0"/>
          <w:strike w:val="0"/>
          <w:highlight w:val="cyan"/>
          <w:u w:val="single"/>
        </w:rPr>
        <w:t>when</w:t>
      </w:r>
      <w:r>
        <w:rPr>
          <w:b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a</w:t>
      </w:r>
      <w:r>
        <w:rPr>
          <w:b/>
          <w:i w:val="0"/>
          <w:smallCaps w:val="0"/>
          <w:strike w:val="0"/>
          <w:u w:val="single"/>
        </w:rPr>
        <w:t xml:space="preserve"> general regulatory </w:t>
      </w:r>
      <w:r>
        <w:rPr>
          <w:b/>
          <w:i w:val="0"/>
          <w:smallCaps w:val="0"/>
          <w:strike w:val="0"/>
          <w:highlight w:val="cyan"/>
          <w:u w:val="single"/>
        </w:rPr>
        <w:t>statute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bears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substantial relation to commerce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highlight w:val="cyan"/>
          <w:u w:val="single"/>
        </w:rPr>
        <w:t>de minimis</w:t>
      </w:r>
      <w:r>
        <w:rPr>
          <w:b/>
          <w:i w:val="0"/>
          <w:smallCaps w:val="0"/>
          <w:strike w:val="0"/>
          <w:u w:val="single"/>
        </w:rPr>
        <w:t xml:space="preserve"> character of individual instances</w:t>
      </w:r>
      <w:r>
        <w:rPr>
          <w:b w:val="0"/>
          <w:i w:val="0"/>
          <w:smallCaps w:val="0"/>
          <w:strike w:val="0"/>
          <w:u w:val="single"/>
        </w:rPr>
        <w:t xml:space="preserve"> arising under that statute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of no </w:t>
      </w:r>
      <w:r>
        <w:rPr>
          <w:b/>
          <w:i w:val="0"/>
          <w:smallCaps w:val="0"/>
          <w:strike w:val="0"/>
          <w:highlight w:val="cyan"/>
          <w:u w:val="single"/>
        </w:rPr>
        <w:t>consequence</w:t>
      </w:r>
      <w:r>
        <w:rPr>
          <w:b w:val="0"/>
          <w:i w:val="0"/>
          <w:smallCaps w:val="0"/>
          <w:strike w:val="0"/>
          <w:sz w:val="16"/>
          <w:u w:val="none"/>
        </w:rPr>
        <w:t>.”Id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17 (internal quotations omitted). The Court further explained that </w:t>
      </w:r>
      <w:r>
        <w:rPr>
          <w:b w:val="0"/>
          <w:i w:val="0"/>
          <w:smallCaps w:val="0"/>
          <w:strike w:val="0"/>
          <w:u w:val="single"/>
        </w:rPr>
        <w:t>“[o]</w:t>
      </w:r>
      <w:r>
        <w:rPr>
          <w:b w:val="0"/>
          <w:i w:val="0"/>
          <w:smallCaps w:val="0"/>
          <w:strike w:val="0"/>
          <w:u w:val="single"/>
        </w:rPr>
        <w:t>ur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case</w:t>
      </w:r>
      <w:r>
        <w:rPr>
          <w:b w:val="0"/>
          <w:i w:val="0"/>
          <w:smallCaps w:val="0"/>
          <w:strike w:val="0"/>
          <w:u w:val="single"/>
        </w:rPr>
        <w:t xml:space="preserve"> law firmly </w:t>
      </w:r>
      <w:r>
        <w:rPr>
          <w:b w:val="0"/>
          <w:i w:val="0"/>
          <w:smallCaps w:val="0"/>
          <w:strike w:val="0"/>
          <w:highlight w:val="cyan"/>
          <w:u w:val="single"/>
        </w:rPr>
        <w:t>establishes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Congress’ </w:t>
      </w:r>
      <w:r>
        <w:rPr>
          <w:b/>
          <w:i w:val="0"/>
          <w:smallCaps w:val="0"/>
          <w:strike w:val="0"/>
          <w:highlight w:val="cyan"/>
          <w:u w:val="single"/>
        </w:rPr>
        <w:t>power to regulate</w:t>
      </w:r>
      <w:r>
        <w:rPr>
          <w:b/>
          <w:i w:val="0"/>
          <w:smallCaps w:val="0"/>
          <w:strike w:val="0"/>
          <w:u w:val="single"/>
        </w:rPr>
        <w:t xml:space="preserve"> purely </w:t>
      </w:r>
      <w:r>
        <w:rPr>
          <w:b/>
          <w:i w:val="0"/>
          <w:smallCaps w:val="0"/>
          <w:strike w:val="0"/>
          <w:highlight w:val="cyan"/>
          <w:u w:val="single"/>
        </w:rPr>
        <w:t>local activities</w:t>
      </w:r>
      <w:r>
        <w:rPr>
          <w:b w:val="0"/>
          <w:i w:val="0"/>
          <w:smallCaps w:val="0"/>
          <w:strike w:val="0"/>
          <w:u w:val="single"/>
        </w:rPr>
        <w:t xml:space="preserve"> that are part of an economic ‘class of activities’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have a substantial effect on interstate commerce.” Id.; see also Taylor v. US, 136 S. Ct. 2074, 2081 (2016) (“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it </w:t>
      </w:r>
      <w:r>
        <w:rPr>
          <w:b/>
          <w:i w:val="0"/>
          <w:smallCaps w:val="0"/>
          <w:strike w:val="0"/>
          <w:highlight w:val="cyan"/>
          <w:u w:val="single"/>
        </w:rPr>
        <w:t>makes no difference</w:t>
      </w:r>
      <w:r>
        <w:rPr>
          <w:b/>
          <w:i w:val="0"/>
          <w:smallCaps w:val="0"/>
          <w:strike w:val="0"/>
          <w:u w:val="single"/>
        </w:rPr>
        <w:t xml:space="preserve"> under our cases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 any</w:t>
      </w:r>
      <w:r>
        <w:rPr>
          <w:b w:val="0"/>
          <w:i w:val="0"/>
          <w:smallCaps w:val="0"/>
          <w:strike w:val="0"/>
          <w:u w:val="single"/>
        </w:rPr>
        <w:t xml:space="preserve"> actual or </w:t>
      </w:r>
      <w:r>
        <w:rPr>
          <w:b w:val="0"/>
          <w:i w:val="0"/>
          <w:smallCaps w:val="0"/>
          <w:strike w:val="0"/>
          <w:highlight w:val="cyan"/>
          <w:u w:val="single"/>
        </w:rPr>
        <w:t>threatened effect on commerce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in a particular case </w:t>
      </w:r>
      <w:r>
        <w:rPr>
          <w:b/>
          <w:i w:val="0"/>
          <w:smallCaps w:val="0"/>
          <w:strike w:val="0"/>
          <w:highlight w:val="cyan"/>
          <w:u w:val="single"/>
        </w:rPr>
        <w:t>is minimal</w:t>
      </w:r>
      <w:r>
        <w:rPr>
          <w:b w:val="0"/>
          <w:i w:val="0"/>
          <w:smallCaps w:val="0"/>
          <w:strike w:val="0"/>
          <w:sz w:val="16"/>
          <w:u w:val="none"/>
        </w:rPr>
        <w:t>.).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