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Pre-registration </w:t>
      </w:r>
      <w:r>
        <w:rPr>
          <w:b/>
          <w:i w:val="0"/>
          <w:smallCaps w:val="0"/>
          <w:strike w:val="0"/>
          <w:sz w:val="26"/>
          <w:u w:val="single"/>
        </w:rPr>
        <w:t>still</w:t>
      </w:r>
      <w:r>
        <w:rPr>
          <w:b/>
          <w:i w:val="0"/>
          <w:smallCaps w:val="0"/>
          <w:strike w:val="0"/>
          <w:sz w:val="26"/>
          <w:u w:val="none"/>
        </w:rPr>
        <w:t xml:space="preserve"> abides by the </w:t>
      </w:r>
      <w:r>
        <w:rPr>
          <w:b/>
          <w:i w:val="0"/>
          <w:smallCaps w:val="0"/>
          <w:strike w:val="0"/>
          <w:sz w:val="26"/>
          <w:u w:val="single"/>
        </w:rPr>
        <w:t>current</w:t>
      </w:r>
      <w:r>
        <w:rPr>
          <w:b/>
          <w:i w:val="0"/>
          <w:smallCaps w:val="0"/>
          <w:strike w:val="0"/>
          <w:sz w:val="26"/>
          <w:u w:val="none"/>
        </w:rPr>
        <w:t xml:space="preserve"> “used in commerce” standard which means there will </w:t>
      </w:r>
      <w:r>
        <w:rPr>
          <w:b/>
          <w:i w:val="0"/>
          <w:smallCaps w:val="0"/>
          <w:strike w:val="0"/>
          <w:sz w:val="26"/>
          <w:u w:val="single"/>
        </w:rPr>
        <w:t>still be</w:t>
      </w:r>
      <w:r>
        <w:rPr>
          <w:b/>
          <w:i w:val="0"/>
          <w:smallCaps w:val="0"/>
          <w:strike w:val="0"/>
          <w:sz w:val="26"/>
          <w:u w:val="none"/>
        </w:rPr>
        <w:t xml:space="preserve"> heavy presumption against startups </w:t>
      </w:r>
      <w:r>
        <w:rPr>
          <w:b/>
          <w:i w:val="0"/>
          <w:smallCaps w:val="0"/>
          <w:strike w:val="0"/>
          <w:sz w:val="26"/>
          <w:u w:val="single"/>
        </w:rPr>
        <w:t>even if</w:t>
      </w:r>
      <w:r>
        <w:rPr>
          <w:b/>
          <w:i w:val="0"/>
          <w:smallCaps w:val="0"/>
          <w:strike w:val="0"/>
          <w:sz w:val="26"/>
          <w:u w:val="none"/>
        </w:rPr>
        <w:t xml:space="preserve"> it is </w:t>
      </w:r>
      <w:r>
        <w:rPr>
          <w:b/>
          <w:i/>
          <w:smallCaps w:val="0"/>
          <w:strike w:val="0"/>
          <w:sz w:val="26"/>
          <w:u w:val="none"/>
        </w:rPr>
        <w:t>bona fide</w:t>
      </w:r>
      <w:r>
        <w:rPr>
          <w:b/>
          <w:i w:val="0"/>
          <w:smallCaps w:val="0"/>
          <w:strike w:val="0"/>
          <w:sz w:val="26"/>
          <w:u w:val="none"/>
        </w:rPr>
        <w:t>.</w:t>
      </w:r>
    </w:p>
    <w:p>
      <w:pPr>
        <w:spacing w:after="80"/>
      </w:pPr>
      <w:r>
        <w:rPr>
          <w:b w:val="0"/>
          <w:i w:val="0"/>
          <w:smallCaps w:val="0"/>
          <w:strike w:val="0"/>
          <w:u w:val="none"/>
        </w:rPr>
        <w:t>*Contextualize this with the inherency stuff at the top*</w:t>
      </w:r>
    </w:p>
    <w:p>
      <w:pPr>
        <w:spacing w:after="60"/>
      </w:pPr>
      <w:r>
        <w:rPr>
          <w:b/>
          <w:i w:val="0"/>
          <w:smallCaps w:val="0"/>
          <w:strike w:val="0"/>
          <w:sz w:val="26"/>
          <w:u w:val="none"/>
        </w:rPr>
        <w:t>§1051(b)</w:t>
      </w:r>
      <w:r>
        <w:rPr>
          <w:b/>
          <w:i w:val="0"/>
          <w:smallCaps w:val="0"/>
          <w:strike w:val="0"/>
          <w:sz w:val="26"/>
          <w:u w:val="none"/>
        </w:rPr>
        <w:t xml:space="preserve"> of </w:t>
      </w:r>
      <w:r>
        <w:rPr>
          <w:b/>
          <w:i w:val="0"/>
          <w:smallCaps w:val="0"/>
          <w:strike w:val="0"/>
          <w:sz w:val="26"/>
          <w:u w:val="none"/>
        </w:rPr>
        <w:t>U.S. Code § 1051</w:t>
      </w:r>
      <w:r>
        <w:rPr>
          <w:b/>
          <w:i w:val="0"/>
          <w:smallCaps w:val="0"/>
          <w:strike w:val="0"/>
          <w:sz w:val="26"/>
          <w:u w:val="none"/>
        </w:rPr>
        <w:t xml:space="preserve"> ND </w:t>
      </w:r>
      <w:r>
        <w:rPr>
          <w:b w:val="0"/>
          <w:i w:val="0"/>
          <w:smallCaps w:val="0"/>
          <w:strike w:val="0"/>
          <w:sz w:val="16"/>
          <w:u w:val="none"/>
        </w:rPr>
        <w:t>– "15 U.S. Code § 1051", Cornell Law School – Legal Information Institute, https://www.law.cornell.edu/uscode/text/15/1051 /$</w:t>
      </w:r>
      <w:r>
        <w:rPr>
          <w:b w:val="0"/>
          <w:i w:val="0"/>
          <w:smallCaps w:val="0"/>
          <w:strike w:val="0"/>
          <w:sz w:val="16"/>
          <w:u w:val="none"/>
        </w:rPr>
        <w:t>antiP</w:t>
      </w:r>
      <w:r>
        <w:rPr>
          <w:b w:val="0"/>
          <w:i w:val="0"/>
          <w:smallCaps w:val="0"/>
          <w:strike w:val="0"/>
          <w:sz w:val="16"/>
          <w:u w:val="none"/>
        </w:rPr>
        <w:t>/</w:t>
      </w:r>
    </w:p>
    <w:p>
      <w:pPr>
        <w:spacing w:after="60"/>
      </w:pPr>
      <w:r>
        <w:rPr>
          <w:b w:val="0"/>
          <w:i w:val="0"/>
          <w:smallCaps w:val="0"/>
          <w:strike w:val="0"/>
          <w:sz w:val="16"/>
          <w:u w:val="none"/>
        </w:rPr>
        <w:t xml:space="preserve">(b) </w:t>
      </w:r>
      <w:r>
        <w:rPr>
          <w:b w:val="0"/>
          <w:i w:val="0"/>
          <w:smallCaps w:val="0"/>
          <w:strike w:val="0"/>
          <w:highlight w:val="cyan"/>
          <w:u w:val="single"/>
        </w:rPr>
        <w:t>Application for</w:t>
      </w:r>
      <w:r>
        <w:rPr>
          <w:b w:val="0"/>
          <w:i w:val="0"/>
          <w:smallCaps w:val="0"/>
          <w:strike w:val="0"/>
          <w:u w:val="single"/>
        </w:rPr>
        <w:t xml:space="preserve"> bona fide </w:t>
      </w:r>
      <w:r>
        <w:rPr>
          <w:b w:val="0"/>
          <w:i w:val="0"/>
          <w:smallCaps w:val="0"/>
          <w:strike w:val="0"/>
          <w:highlight w:val="cyan"/>
          <w:u w:val="single"/>
        </w:rPr>
        <w:t>intention to use trademark</w:t>
      </w:r>
    </w:p>
    <w:p>
      <w:pPr>
        <w:spacing w:after="60"/>
      </w:pPr>
      <w:r>
        <w:rPr>
          <w:b w:val="0"/>
          <w:i w:val="0"/>
          <w:smallCaps w:val="0"/>
          <w:strike w:val="0"/>
          <w:sz w:val="16"/>
          <w:u w:val="none"/>
        </w:rPr>
        <w:t xml:space="preserve">(1) </w:t>
      </w:r>
      <w:r>
        <w:rPr>
          <w:b w:val="0"/>
          <w:i w:val="0"/>
          <w:smallCaps w:val="0"/>
          <w:strike w:val="0"/>
          <w:highlight w:val="cyan"/>
          <w:u w:val="single"/>
        </w:rPr>
        <w:t>A person who has</w:t>
      </w:r>
      <w:r>
        <w:rPr>
          <w:b w:val="0"/>
          <w:i w:val="0"/>
          <w:smallCaps w:val="0"/>
          <w:strike w:val="0"/>
          <w:u w:val="single"/>
        </w:rPr>
        <w:t xml:space="preserve"> a </w:t>
      </w:r>
      <w:r>
        <w:rPr>
          <w:b w:val="0"/>
          <w:i w:val="0"/>
          <w:smallCaps w:val="0"/>
          <w:strike w:val="0"/>
          <w:highlight w:val="cyan"/>
          <w:u w:val="single"/>
        </w:rPr>
        <w:t>bona fide intention</w:t>
      </w:r>
      <w:r>
        <w:rPr>
          <w:b w:val="0"/>
          <w:i w:val="0"/>
          <w:smallCaps w:val="0"/>
          <w:strike w:val="0"/>
          <w:sz w:val="16"/>
          <w:u w:val="none"/>
        </w:rPr>
        <w:t xml:space="preserve">, under circumstances showing the good faith of such person, </w:t>
      </w:r>
      <w:r>
        <w:rPr>
          <w:b w:val="0"/>
          <w:i w:val="0"/>
          <w:smallCaps w:val="0"/>
          <w:strike w:val="0"/>
          <w:highlight w:val="cyan"/>
          <w:u w:val="single"/>
        </w:rPr>
        <w:t xml:space="preserve">to </w:t>
      </w:r>
      <w:r>
        <w:rPr>
          <w:b/>
          <w:i w:val="0"/>
          <w:smallCaps w:val="0"/>
          <w:strike w:val="0"/>
          <w:highlight w:val="cyan"/>
          <w:u w:val="single"/>
        </w:rPr>
        <w:t>use</w:t>
      </w:r>
      <w:r>
        <w:rPr>
          <w:b/>
          <w:i w:val="0"/>
          <w:smallCaps w:val="0"/>
          <w:strike w:val="0"/>
          <w:u w:val="single"/>
        </w:rPr>
        <w:t xml:space="preserve"> a trademark </w:t>
      </w:r>
      <w:r>
        <w:rPr>
          <w:b/>
          <w:i w:val="0"/>
          <w:smallCaps w:val="0"/>
          <w:strike w:val="0"/>
          <w:highlight w:val="cyan"/>
          <w:u w:val="single"/>
        </w:rPr>
        <w:t>in commerce</w:t>
      </w:r>
      <w:r>
        <w:rPr>
          <w:b w:val="0"/>
          <w:i w:val="0"/>
          <w:smallCaps w:val="0"/>
          <w:strike w:val="0"/>
          <w:u w:val="single"/>
        </w:rPr>
        <w:t xml:space="preserve"> may </w:t>
      </w:r>
      <w:r>
        <w:rPr>
          <w:b w:val="0"/>
          <w:i w:val="0"/>
          <w:smallCaps w:val="0"/>
          <w:strike w:val="0"/>
          <w:highlight w:val="cyan"/>
          <w:u w:val="single"/>
        </w:rPr>
        <w:t>request registration</w:t>
      </w:r>
      <w:r>
        <w:rPr>
          <w:b w:val="0"/>
          <w:i w:val="0"/>
          <w:smallCaps w:val="0"/>
          <w:strike w:val="0"/>
          <w:u w:val="single"/>
        </w:rPr>
        <w:t xml:space="preserve"> of its trademark</w:t>
      </w:r>
      <w:r>
        <w:rPr>
          <w:b w:val="0"/>
          <w:i w:val="0"/>
          <w:smallCaps w:val="0"/>
          <w:strike w:val="0"/>
          <w:sz w:val="16"/>
          <w:u w:val="none"/>
        </w:rPr>
        <w:t xml:space="preserve"> on the principal register hereby established by paying the prescribed fee and filing in the Patent and Trademark Office an application and a verified statement, in such form as may be prescribed by the Director.</w:t>
      </w:r>
    </w:p>
    <w:p>
      <w:pPr>
        <w:spacing w:after="60"/>
      </w:pPr>
      <w:r>
        <w:rPr>
          <w:b w:val="0"/>
          <w:i w:val="0"/>
          <w:smallCaps w:val="0"/>
          <w:strike w:val="0"/>
          <w:sz w:val="16"/>
          <w:u w:val="none"/>
        </w:rPr>
        <w:t>(2) The application shall include specification of the applicant’s domicile and citizenship, the goods in connection with which the applicant has a bona fide intention to use the mark, and a drawing of the mark.</w:t>
      </w:r>
    </w:p>
    <w:p>
      <w:pPr>
        <w:spacing w:after="60"/>
      </w:pPr>
      <w:r>
        <w:rPr>
          <w:b w:val="0"/>
          <w:i w:val="0"/>
          <w:smallCaps w:val="0"/>
          <w:strike w:val="0"/>
          <w:sz w:val="16"/>
          <w:u w:val="none"/>
        </w:rPr>
        <w:t>(3) The statement shall be verified by the applicant and specify—</w:t>
      </w:r>
    </w:p>
    <w:p>
      <w:pPr>
        <w:spacing w:after="60"/>
      </w:pPr>
      <w:r>
        <w:rPr>
          <w:b w:val="0"/>
          <w:i w:val="0"/>
          <w:smallCaps w:val="0"/>
          <w:strike w:val="0"/>
          <w:sz w:val="16"/>
          <w:u w:val="none"/>
        </w:rPr>
        <w:t>(A) that the person making the verification believes that he or she, or the juristic person in whose behalf he or she makes the verification, to be entitled to use the mark in commerce;</w:t>
      </w:r>
    </w:p>
    <w:p>
      <w:pPr>
        <w:spacing w:after="60"/>
      </w:pPr>
      <w:r>
        <w:rPr>
          <w:b w:val="0"/>
          <w:i w:val="0"/>
          <w:smallCaps w:val="0"/>
          <w:strike w:val="0"/>
          <w:sz w:val="16"/>
          <w:u w:val="none"/>
        </w:rPr>
        <w:t xml:space="preserve">(B) </w:t>
      </w:r>
      <w:r>
        <w:rPr>
          <w:b w:val="0"/>
          <w:i w:val="0"/>
          <w:smallCaps w:val="0"/>
          <w:strike w:val="0"/>
          <w:highlight w:val="cyan"/>
          <w:u w:val="single"/>
        </w:rPr>
        <w:t>the</w:t>
      </w:r>
      <w:r>
        <w:rPr>
          <w:b w:val="0"/>
          <w:i w:val="0"/>
          <w:smallCaps w:val="0"/>
          <w:strike w:val="0"/>
          <w:u w:val="single"/>
        </w:rPr>
        <w:t xml:space="preserve"> applicant’s </w:t>
      </w:r>
      <w:r>
        <w:rPr>
          <w:b w:val="0"/>
          <w:i w:val="0"/>
          <w:smallCaps w:val="0"/>
          <w:strike w:val="0"/>
          <w:highlight w:val="cyan"/>
          <w:u w:val="single"/>
        </w:rPr>
        <w:t xml:space="preserve">bona fide intention </w:t>
      </w:r>
      <w:r>
        <w:rPr>
          <w:b/>
          <w:i w:val="0"/>
          <w:smallCaps w:val="0"/>
          <w:strike w:val="0"/>
          <w:highlight w:val="cyan"/>
          <w:u w:val="single"/>
        </w:rPr>
        <w:t>to use the mark in commerce</w:t>
      </w:r>
      <w:r>
        <w:rPr>
          <w:b w:val="0"/>
          <w:i w:val="0"/>
          <w:smallCaps w:val="0"/>
          <w:strike w:val="0"/>
          <w:sz w:val="16"/>
          <w:u w:val="none"/>
        </w:rPr>
        <w:t>;</w:t>
      </w:r>
    </w:p>
    <w:p>
      <w:pPr>
        <w:spacing w:after="60"/>
      </w:pPr>
      <w:r>
        <w:rPr>
          <w:b w:val="0"/>
          <w:i w:val="0"/>
          <w:smallCaps w:val="0"/>
          <w:strike w:val="0"/>
          <w:sz w:val="16"/>
          <w:u w:val="none"/>
        </w:rPr>
        <w:t>(C) that, to the best of the verifier’s knowledge and belief, the facts recited in the application are accurate; and</w:t>
      </w:r>
    </w:p>
    <w:p>
      <w:pPr>
        <w:spacing w:after="60"/>
      </w:pPr>
      <w:r>
        <w:rPr>
          <w:b w:val="0"/>
          <w:i w:val="0"/>
          <w:smallCaps w:val="0"/>
          <w:strike w:val="0"/>
          <w:sz w:val="16"/>
          <w:u w:val="none"/>
        </w:rPr>
        <w:t>(D) that, to the best of the verifier’s knowledge and belief, no other person has the right to use such mark in commerce either in the identical form thereof or in such near resemblance thereto as to be likely, when used on or in connection with the goods of such other person, to cause confusion, or to cause mistake, or to deceive.</w:t>
      </w:r>
    </w:p>
    <w:p>
      <w:pPr>
        <w:spacing w:after="60"/>
      </w:pPr>
      <w:r>
        <w:rPr>
          <w:b w:val="0"/>
          <w:i w:val="0"/>
          <w:smallCaps w:val="0"/>
          <w:strike w:val="0"/>
          <w:sz w:val="16"/>
          <w:u w:val="none"/>
        </w:rPr>
        <w:t>Except for applications filed pursuant to section 1126 of this title, no mark shall be registered until the applicant has met the requirements of subsections (c) and (d) of this section.</w:t>
      </w:r>
    </w:p>
    <w:p>
      <w:pPr>
        <w:spacing w:after="60"/>
      </w:pPr>
      <w:r>
        <w:rPr>
          <w:b w:val="0"/>
          <w:i w:val="0"/>
          <w:smallCaps w:val="0"/>
          <w:strike w:val="0"/>
          <w:sz w:val="16"/>
          <w:u w:val="none"/>
        </w:rPr>
        <w:t xml:space="preserve">(4) </w:t>
      </w:r>
      <w:r>
        <w:rPr>
          <w:b w:val="0"/>
          <w:i w:val="0"/>
          <w:smallCaps w:val="0"/>
          <w:strike w:val="0"/>
          <w:u w:val="single"/>
        </w:rPr>
        <w:t xml:space="preserve">The </w:t>
      </w:r>
      <w:r>
        <w:rPr>
          <w:b w:val="0"/>
          <w:i w:val="0"/>
          <w:smallCaps w:val="0"/>
          <w:strike w:val="0"/>
          <w:highlight w:val="cyan"/>
          <w:u w:val="single"/>
        </w:rPr>
        <w:t xml:space="preserve">applicant </w:t>
      </w:r>
      <w:r>
        <w:rPr>
          <w:b/>
          <w:i w:val="0"/>
          <w:smallCaps w:val="0"/>
          <w:strike w:val="0"/>
          <w:highlight w:val="cyan"/>
          <w:u w:val="single"/>
        </w:rPr>
        <w:t>shall comply with such rules</w:t>
      </w:r>
      <w:r>
        <w:rPr>
          <w:b w:val="0"/>
          <w:i w:val="0"/>
          <w:smallCaps w:val="0"/>
          <w:strike w:val="0"/>
          <w:u w:val="single"/>
        </w:rPr>
        <w:t xml:space="preserve"> or regulations as may be prescribed by the Director</w:t>
      </w:r>
      <w:r>
        <w:rPr>
          <w:b w:val="0"/>
          <w:i w:val="0"/>
          <w:smallCaps w:val="0"/>
          <w:strike w:val="0"/>
          <w:sz w:val="16"/>
          <w:u w:val="none"/>
        </w:rPr>
        <w:t>. The Director shall promulgate rules prescribing the requirements for the application and for obtaining a filing date herein.</w:t>
      </w:r>
    </w:p>
    <w:p>
      <w:pPr>
        <w:pStyle w:val="Caption"/>
      </w:pPr>
      <w:r>
        <w:t>Source: Bona Fde Aff Updates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