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Analogous use </w:t>
      </w:r>
      <w:r>
        <w:rPr>
          <w:b/>
          <w:i w:val="0"/>
          <w:smallCaps w:val="0"/>
          <w:strike w:val="0"/>
          <w:sz w:val="26"/>
          <w:u w:val="single"/>
        </w:rPr>
        <w:t>still suffers</w:t>
      </w:r>
      <w:r>
        <w:rPr>
          <w:b/>
          <w:i w:val="0"/>
          <w:smallCaps w:val="0"/>
          <w:strike w:val="0"/>
          <w:sz w:val="26"/>
          <w:u w:val="none"/>
        </w:rPr>
        <w:t xml:space="preserve"> from heavy preemption which means the AFF is key – this is the court case </w:t>
      </w:r>
      <w:r>
        <w:rPr>
          <w:b/>
          <w:i w:val="0"/>
          <w:smallCaps w:val="0"/>
          <w:strike w:val="0"/>
          <w:sz w:val="26"/>
          <w:u w:val="single"/>
        </w:rPr>
        <w:t>their evidence</w:t>
      </w:r>
      <w:r>
        <w:rPr>
          <w:b/>
          <w:i w:val="0"/>
          <w:smallCaps w:val="0"/>
          <w:strike w:val="0"/>
          <w:sz w:val="26"/>
          <w:u w:val="none"/>
        </w:rPr>
        <w:t xml:space="preserve"> cites.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*Same thing here – contextualize with the card at the top*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USDA DC Circuit 08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United States Court of Appeals, District of Columbia Circuit, April 29, 2008, “AKTIESELSKABET AF 21 NOVEMBER 2001 v. FAME JEANS INC (2008)", </w:t>
      </w:r>
      <w:r>
        <w:rPr>
          <w:b w:val="0"/>
          <w:i w:val="0"/>
          <w:smallCaps w:val="0"/>
          <w:strike w:val="0"/>
          <w:sz w:val="16"/>
          <w:u w:val="none"/>
        </w:rPr>
        <w:t>Findlaw</w:t>
      </w:r>
      <w:r>
        <w:rPr>
          <w:b w:val="0"/>
          <w:i w:val="0"/>
          <w:smallCaps w:val="0"/>
          <w:strike w:val="0"/>
          <w:sz w:val="16"/>
          <w:u w:val="none"/>
        </w:rPr>
        <w:t>, https://caselaw.findlaw.com/court/us-dc-circuit/1471864.html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Since Fame Jeans filed its application on January 9, 2004, </w:t>
      </w:r>
      <w:r>
        <w:rPr>
          <w:b w:val="0"/>
          <w:i w:val="0"/>
          <w:smallCaps w:val="0"/>
          <w:strike w:val="0"/>
          <w:highlight w:val="cyan"/>
          <w:u w:val="single"/>
        </w:rPr>
        <w:t>Bestseller must establish use</w:t>
      </w:r>
      <w:r>
        <w:rPr>
          <w:b w:val="0"/>
          <w:i w:val="0"/>
          <w:smallCaps w:val="0"/>
          <w:strike w:val="0"/>
          <w:u w:val="single"/>
        </w:rPr>
        <w:t>, either actual or constructive, before that date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7  Constructive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use can arise under § 7(c), which grants priority, based on filing date, to a U.S. application or to a foreign application that was followed by a timely U.S. application under § 44(d).  Bestseller filed a U.S. application on December 6, 2004, based on its 1991 Danish registration.   It neither complied with the six-month timeliness requirement of § 44(d) nor even filed its application under § 44(d).  Therefore, Bestseller cannot demonstrate any constructive use prior to Fame's filing date.   However, Bestseller has adequately alleged actual use.   </w:t>
      </w:r>
      <w:r>
        <w:rPr>
          <w:b w:val="0"/>
          <w:i w:val="0"/>
          <w:smallCaps w:val="0"/>
          <w:strike w:val="0"/>
          <w:u w:val="single"/>
        </w:rPr>
        <w:t xml:space="preserve">Although the complaint </w:t>
      </w:r>
      <w:r>
        <w:rPr>
          <w:b w:val="0"/>
          <w:i w:val="0"/>
          <w:smallCaps w:val="0"/>
          <w:strike w:val="0"/>
          <w:highlight w:val="cyan"/>
          <w:u w:val="single"/>
        </w:rPr>
        <w:t>does not set forth</w:t>
      </w:r>
      <w:r>
        <w:rPr>
          <w:b w:val="0"/>
          <w:i w:val="0"/>
          <w:smallCaps w:val="0"/>
          <w:strike w:val="0"/>
          <w:u w:val="single"/>
        </w:rPr>
        <w:t xml:space="preserve"> trademark </w:t>
      </w:r>
      <w:r>
        <w:rPr>
          <w:b w:val="0"/>
          <w:i w:val="0"/>
          <w:smallCaps w:val="0"/>
          <w:strike w:val="0"/>
          <w:highlight w:val="cyan"/>
          <w:u w:val="single"/>
        </w:rPr>
        <w:t>use to earn</w:t>
      </w:r>
      <w:r>
        <w:rPr>
          <w:b w:val="0"/>
          <w:i w:val="0"/>
          <w:smallCaps w:val="0"/>
          <w:strike w:val="0"/>
          <w:u w:val="single"/>
        </w:rPr>
        <w:t xml:space="preserve"> Bestseller </w:t>
      </w:r>
      <w:r>
        <w:rPr>
          <w:b w:val="0"/>
          <w:i w:val="0"/>
          <w:smallCaps w:val="0"/>
          <w:strike w:val="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single"/>
        </w:rPr>
        <w:t xml:space="preserve"> in the Jack &amp; Jones mark, </w:t>
      </w:r>
      <w:r>
        <w:rPr>
          <w:b/>
          <w:i w:val="0"/>
          <w:smallCaps w:val="0"/>
          <w:strike w:val="0"/>
          <w:highlight w:val="cyan"/>
          <w:u w:val="single"/>
        </w:rPr>
        <w:t>an opposer who has made</w:t>
      </w:r>
      <w:r>
        <w:rPr>
          <w:b/>
          <w:i w:val="0"/>
          <w:smallCaps w:val="0"/>
          <w:strike w:val="0"/>
          <w:u w:val="single"/>
        </w:rPr>
        <w:t xml:space="preserve"> enough “</w:t>
      </w:r>
      <w:r>
        <w:rPr>
          <w:b/>
          <w:i w:val="0"/>
          <w:smallCaps w:val="0"/>
          <w:strike w:val="0"/>
          <w:highlight w:val="cyan"/>
          <w:u w:val="single"/>
        </w:rPr>
        <w:t>analogous</w:t>
      </w:r>
      <w:r>
        <w:rPr>
          <w:b/>
          <w:i w:val="0"/>
          <w:smallCaps w:val="0"/>
          <w:strike w:val="0"/>
          <w:u w:val="single"/>
        </w:rPr>
        <w:t xml:space="preserve">” </w:t>
      </w:r>
      <w:r>
        <w:rPr>
          <w:b/>
          <w:i w:val="0"/>
          <w:smallCaps w:val="0"/>
          <w:strike w:val="0"/>
          <w:highlight w:val="cyan"/>
          <w:u w:val="single"/>
        </w:rPr>
        <w:t>use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can still defeat a registration</w:t>
      </w:r>
      <w:r>
        <w:rPr>
          <w:b w:val="0"/>
          <w:i w:val="0"/>
          <w:smallCaps w:val="0"/>
          <w:strike w:val="0"/>
          <w:sz w:val="16"/>
          <w:u w:val="none"/>
        </w:rPr>
        <w:t>.   See Malcolm Nicol &amp; Co. v. Witco Corp., 881 F.2d 1063, 1065 (Fed.Cir.1989) (quoting 3 McCarthy, supra, § 20:4 (1984)).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First, </w:t>
      </w:r>
      <w:r>
        <w:rPr>
          <w:b/>
          <w:i w:val="0"/>
          <w:smallCaps w:val="0"/>
          <w:strike w:val="0"/>
          <w:highlight w:val="cyan"/>
          <w:u w:val="single"/>
        </w:rPr>
        <w:t>Bestseller fails to allege</w:t>
      </w:r>
      <w:r>
        <w:rPr>
          <w:b/>
          <w:i w:val="0"/>
          <w:smallCaps w:val="0"/>
          <w:strike w:val="0"/>
          <w:u w:val="single"/>
        </w:rPr>
        <w:t xml:space="preserve"> actual </w:t>
      </w:r>
      <w:r>
        <w:rPr>
          <w:b/>
          <w:i w:val="0"/>
          <w:smallCaps w:val="0"/>
          <w:strike w:val="0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u w:val="single"/>
        </w:rPr>
        <w:t xml:space="preserve"> in the most straightforward way, by showing its own protectible right to the Jack &amp; Jones trademark in the United States</w:t>
      </w:r>
      <w:r>
        <w:rPr>
          <w:b w:val="0"/>
          <w:i w:val="0"/>
          <w:smallCaps w:val="0"/>
          <w:strike w:val="0"/>
          <w:sz w:val="16"/>
          <w:u w:val="none"/>
        </w:rPr>
        <w:t>.   At common law, “</w:t>
      </w:r>
      <w:r>
        <w:rPr>
          <w:b w:val="0"/>
          <w:i w:val="0"/>
          <w:smallCaps w:val="0"/>
          <w:strike w:val="0"/>
          <w:highlight w:val="cyan"/>
          <w:u w:val="single"/>
        </w:rPr>
        <w:t>prior ownership</w:t>
      </w:r>
      <w:r>
        <w:rPr>
          <w:b w:val="0"/>
          <w:i w:val="0"/>
          <w:smallCaps w:val="0"/>
          <w:strike w:val="0"/>
          <w:u w:val="single"/>
        </w:rPr>
        <w:t xml:space="preserve"> of a mark </w:t>
      </w:r>
      <w:r>
        <w:rPr>
          <w:b w:val="0"/>
          <w:i w:val="0"/>
          <w:smallCaps w:val="0"/>
          <w:strike w:val="0"/>
          <w:highlight w:val="cyan"/>
          <w:u w:val="single"/>
        </w:rPr>
        <w:t>is only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established as of the first</w:t>
      </w:r>
      <w:r>
        <w:rPr>
          <w:b w:val="0"/>
          <w:i w:val="0"/>
          <w:smallCaps w:val="0"/>
          <w:strike w:val="0"/>
          <w:u w:val="single"/>
        </w:rPr>
        <w:t xml:space="preserve"> actual </w:t>
      </w:r>
      <w:r>
        <w:rPr>
          <w:b w:val="0"/>
          <w:i w:val="0"/>
          <w:smallCaps w:val="0"/>
          <w:strike w:val="0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u w:val="single"/>
        </w:rPr>
        <w:t xml:space="preserve"> of a mark in a genuine commercial transaction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 Allard Enters., Inc. v. Adv. Programming Res., Inc., 146 F.3d 350, 358 (6th Cir.1998).   </w:t>
      </w:r>
      <w:r>
        <w:rPr>
          <w:b w:val="0"/>
          <w:i w:val="0"/>
          <w:smallCaps w:val="0"/>
          <w:strike w:val="0"/>
          <w:u w:val="single"/>
        </w:rPr>
        <w:t xml:space="preserve">The 1988 amendments to the Lanham Act codified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standard of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use in commerce</w:t>
      </w:r>
      <w:r>
        <w:rPr>
          <w:b w:val="0"/>
          <w:i w:val="0"/>
          <w:smallCaps w:val="0"/>
          <w:strike w:val="0"/>
          <w:u w:val="single"/>
        </w:rPr>
        <w:t xml:space="preserve">,” </w:t>
      </w:r>
      <w:r>
        <w:rPr>
          <w:b/>
          <w:i w:val="0"/>
          <w:smallCaps w:val="0"/>
          <w:strike w:val="0"/>
          <w:highlight w:val="cyan"/>
          <w:u w:val="single"/>
        </w:rPr>
        <w:t>necessary</w:t>
      </w:r>
      <w:r>
        <w:rPr>
          <w:b/>
          <w:i w:val="0"/>
          <w:smallCaps w:val="0"/>
          <w:strike w:val="0"/>
          <w:u w:val="single"/>
        </w:rPr>
        <w:t xml:space="preserve"> for a valid trademark registration</w:t>
      </w:r>
      <w:r>
        <w:rPr>
          <w:b w:val="0"/>
          <w:i w:val="0"/>
          <w:smallCaps w:val="0"/>
          <w:strike w:val="0"/>
          <w:u w:val="single"/>
        </w:rPr>
        <w:t>, which means “the bona fide use of a mark in the ordinary course of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including, for a trademark, attaching the trademark to goods.  15 U.S.C. § 1127.   </w:t>
      </w:r>
      <w:r>
        <w:rPr>
          <w:b/>
          <w:i w:val="0"/>
          <w:smallCaps w:val="0"/>
          <w:strike w:val="0"/>
          <w:u w:val="single"/>
        </w:rPr>
        <w:t xml:space="preserve">In any case, “sporadic or </w:t>
      </w:r>
      <w:r>
        <w:rPr>
          <w:b/>
          <w:i w:val="0"/>
          <w:smallCaps w:val="0"/>
          <w:strike w:val="0"/>
          <w:highlight w:val="cyan"/>
          <w:u w:val="single"/>
        </w:rPr>
        <w:t>minimal</w:t>
      </w:r>
      <w:r>
        <w:rPr>
          <w:b/>
          <w:i w:val="0"/>
          <w:smallCaps w:val="0"/>
          <w:strike w:val="0"/>
          <w:u w:val="single"/>
        </w:rPr>
        <w:t xml:space="preserve">” </w:t>
      </w:r>
      <w:r>
        <w:rPr>
          <w:b/>
          <w:i w:val="0"/>
          <w:smallCaps w:val="0"/>
          <w:strike w:val="0"/>
          <w:highlight w:val="cyan"/>
          <w:u w:val="single"/>
        </w:rPr>
        <w:t>sales are not sufficient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 Allard Enters., 146 F.3d at </w:t>
      </w:r>
      <w:r>
        <w:rPr>
          <w:b w:val="0"/>
          <w:i w:val="0"/>
          <w:smallCaps w:val="0"/>
          <w:strike w:val="0"/>
          <w:sz w:val="16"/>
          <w:u w:val="none"/>
        </w:rPr>
        <w:t>359;  see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16"/>
          <w:u w:val="none"/>
        </w:rPr>
        <w:t>Zazu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Designs v. </w:t>
      </w:r>
      <w:r>
        <w:rPr>
          <w:b w:val="0"/>
          <w:i w:val="0"/>
          <w:smallCaps w:val="0"/>
          <w:strike w:val="0"/>
          <w:sz w:val="16"/>
          <w:u w:val="none"/>
        </w:rPr>
        <w:t>L'Oreal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S.A., 979 F.2d 499, 503 (7th Cir.1992) (“A few bottles sold over the counter </w:t>
      </w:r>
      <w:r>
        <w:rPr>
          <w:b w:val="0"/>
          <w:i w:val="0"/>
          <w:smallCaps w:val="0"/>
          <w:strike w:val="0"/>
          <w:sz w:val="16"/>
          <w:u w:val="none"/>
        </w:rPr>
        <w:t>․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 few more mailed to friends” are not sufficient use.).   While a single sale may indicate the first use of a mark, </w:t>
      </w:r>
      <w:r>
        <w:rPr>
          <w:b/>
          <w:i w:val="0"/>
          <w:smallCaps w:val="0"/>
          <w:strike w:val="0"/>
          <w:highlight w:val="cyan"/>
          <w:u w:val="single"/>
        </w:rPr>
        <w:t>it must be</w:t>
      </w:r>
      <w:r>
        <w:rPr>
          <w:b/>
          <w:i w:val="0"/>
          <w:smallCaps w:val="0"/>
          <w:strike w:val="0"/>
          <w:u w:val="single"/>
        </w:rPr>
        <w:t xml:space="preserve"> the beginning of “</w:t>
      </w:r>
      <w:r>
        <w:rPr>
          <w:b/>
          <w:i w:val="0"/>
          <w:smallCaps w:val="0"/>
          <w:strike w:val="0"/>
          <w:highlight w:val="cyan"/>
          <w:u w:val="single"/>
        </w:rPr>
        <w:t>continuous</w:t>
      </w:r>
      <w:r>
        <w:rPr>
          <w:b/>
          <w:i w:val="0"/>
          <w:smallCaps w:val="0"/>
          <w:strike w:val="0"/>
          <w:u w:val="single"/>
        </w:rPr>
        <w:t xml:space="preserve"> commercial </w:t>
      </w:r>
      <w:r>
        <w:rPr>
          <w:b/>
          <w:i w:val="0"/>
          <w:smallCaps w:val="0"/>
          <w:strike w:val="0"/>
          <w:highlight w:val="cyan"/>
          <w:u w:val="single"/>
        </w:rPr>
        <w:t>utilization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 Allard, 146 F.3d at 358.   Obviously, as § 1052(d) requires, such use must also be “in the United States.”   See Person's Co. v. </w:t>
      </w:r>
      <w:r>
        <w:rPr>
          <w:b w:val="0"/>
          <w:i w:val="0"/>
          <w:smallCaps w:val="0"/>
          <w:strike w:val="0"/>
          <w:sz w:val="16"/>
          <w:u w:val="none"/>
        </w:rPr>
        <w:t>Christman</w:t>
      </w:r>
      <w:r>
        <w:rPr>
          <w:b w:val="0"/>
          <w:i w:val="0"/>
          <w:smallCaps w:val="0"/>
          <w:strike w:val="0"/>
          <w:sz w:val="16"/>
          <w:u w:val="none"/>
        </w:rPr>
        <w:t>, 900 F.2d 1565, 1568-69 (Fed.Cir.1990) (T-shirt sales in Japan are not “use in United States commerce”).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Bestseller need not “meet the technical statutory requirements to register </w:t>
      </w:r>
      <w:r>
        <w:rPr>
          <w:b w:val="0"/>
          <w:i w:val="0"/>
          <w:smallCaps w:val="0"/>
          <w:strike w:val="0"/>
          <w:sz w:val="16"/>
          <w:u w:val="none"/>
        </w:rPr>
        <w:t>․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 mark] to have a basis for objection to another's registration.”  </w:t>
      </w:r>
      <w:r>
        <w:rPr>
          <w:b w:val="0"/>
          <w:i w:val="0"/>
          <w:smallCaps w:val="0"/>
          <w:strike w:val="0"/>
          <w:sz w:val="16"/>
          <w:u w:val="none"/>
        </w:rPr>
        <w:t>Nat'l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Cable Television </w:t>
      </w:r>
      <w:r>
        <w:rPr>
          <w:b w:val="0"/>
          <w:i w:val="0"/>
          <w:smallCaps w:val="0"/>
          <w:strike w:val="0"/>
          <w:sz w:val="16"/>
          <w:u w:val="none"/>
        </w:rPr>
        <w:t>Ass'n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v. Am. Cinema Editors, Inc., 937 F.2d 1572, 1578 (Fed.Cir.1991).   </w:t>
      </w:r>
      <w:r>
        <w:rPr>
          <w:b w:val="0"/>
          <w:i w:val="0"/>
          <w:smallCaps w:val="0"/>
          <w:strike w:val="0"/>
          <w:highlight w:val="cyan"/>
          <w:u w:val="single"/>
        </w:rPr>
        <w:t>Section 2(d)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requires only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 w:val="0"/>
          <w:i w:val="0"/>
          <w:smallCaps w:val="0"/>
          <w:strike w:val="0"/>
          <w:highlight w:val="cyan"/>
          <w:u w:val="single"/>
        </w:rPr>
        <w:t>use</w:t>
      </w:r>
      <w:r>
        <w:rPr>
          <w:b w:val="0"/>
          <w:i w:val="0"/>
          <w:smallCaps w:val="0"/>
          <w:strike w:val="0"/>
          <w:u w:val="single"/>
        </w:rPr>
        <w:t>[</w:t>
      </w:r>
      <w:r>
        <w:rPr>
          <w:b w:val="0"/>
          <w:i w:val="0"/>
          <w:smallCaps w:val="0"/>
          <w:strike w:val="0"/>
          <w:u w:val="single"/>
        </w:rPr>
        <w:t xml:space="preserve"> ] in the United States,” </w:t>
      </w:r>
      <w:r>
        <w:rPr>
          <w:b w:val="0"/>
          <w:i w:val="0"/>
          <w:smallCaps w:val="0"/>
          <w:strike w:val="0"/>
          <w:highlight w:val="cyan"/>
          <w:u w:val="single"/>
        </w:rPr>
        <w:t>and adoption</w:t>
      </w:r>
      <w:r>
        <w:rPr>
          <w:b w:val="0"/>
          <w:i w:val="0"/>
          <w:smallCaps w:val="0"/>
          <w:strike w:val="0"/>
          <w:u w:val="single"/>
        </w:rPr>
        <w:t xml:space="preserve"> of the mark by use analogous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strict trademark use will therefore </w:t>
      </w:r>
      <w:r>
        <w:rPr>
          <w:b w:val="0"/>
          <w:i w:val="0"/>
          <w:smallCaps w:val="0"/>
          <w:strike w:val="0"/>
          <w:highlight w:val="cyan"/>
          <w:u w:val="single"/>
        </w:rPr>
        <w:t>suffice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 T.A.B. Sys., Inc. v. </w:t>
      </w:r>
      <w:r>
        <w:rPr>
          <w:b w:val="0"/>
          <w:i w:val="0"/>
          <w:smallCaps w:val="0"/>
          <w:strike w:val="0"/>
          <w:sz w:val="16"/>
          <w:u w:val="none"/>
        </w:rPr>
        <w:t>PacTel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Teletrac, 77 F.3d 1372, 1375 (Fed.Cir.1996).   An opposer may rely on myriad forms of activity besides sales themselves, including, among others, regular business contacts, after-sales services, advertising of various forms, and marketing.  First Niagara Ins. Brokers, Inc. v. First Niagara Fin. Group, 476 F.3d 867, 868-69 (Fed.Cir.2007</w:t>
      </w:r>
      <w:r>
        <w:rPr>
          <w:b w:val="0"/>
          <w:i w:val="0"/>
          <w:smallCaps w:val="0"/>
          <w:strike w:val="0"/>
          <w:sz w:val="16"/>
          <w:u w:val="none"/>
        </w:rPr>
        <w:t>);  Johnny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Blastoff, Inc. v. L.A. Rams Football Co., 188 F.3d 427, 434 (7th Cir.1999);  Malcolm Nicol, 881 F.2d at 1064.   Even marketing of a trademarked product before the product is ready for sale has the potential to defeat a rival's registration.   See Old Swiss House, Inc. v. Anheuser-Busch, Inc., 569 F.2d 1130, 1133 (C.C.P.A.1978).   </w:t>
      </w:r>
      <w:r>
        <w:rPr>
          <w:b/>
          <w:i w:val="0"/>
          <w:smallCaps w:val="0"/>
          <w:strike w:val="0"/>
          <w:highlight w:val="cyan"/>
          <w:u w:val="single"/>
        </w:rPr>
        <w:t>Still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desultory marketing</w:t>
      </w:r>
      <w:r>
        <w:rPr>
          <w:b/>
          <w:i w:val="0"/>
          <w:smallCaps w:val="0"/>
          <w:strike w:val="0"/>
          <w:u w:val="single"/>
        </w:rPr>
        <w:t xml:space="preserve"> such as sending out occasional press releases </w:t>
      </w:r>
      <w:r>
        <w:rPr>
          <w:b/>
          <w:i w:val="0"/>
          <w:smallCaps w:val="0"/>
          <w:strike w:val="0"/>
          <w:highlight w:val="cyan"/>
          <w:u w:val="single"/>
        </w:rPr>
        <w:t>is not enough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 Id. </w:t>
      </w:r>
      <w:r>
        <w:rPr>
          <w:b/>
          <w:i w:val="0"/>
          <w:smallCaps w:val="0"/>
          <w:strike w:val="0"/>
          <w:u w:val="single"/>
        </w:rPr>
        <w:t xml:space="preserve">Analogous use </w:t>
      </w:r>
      <w:r>
        <w:rPr>
          <w:b/>
          <w:i w:val="0"/>
          <w:smallCaps w:val="0"/>
          <w:strike w:val="0"/>
          <w:highlight w:val="cyan"/>
          <w:u w:val="single"/>
        </w:rPr>
        <w:t>must be</w:t>
      </w:r>
      <w:r>
        <w:rPr>
          <w:b/>
          <w:i w:val="0"/>
          <w:smallCaps w:val="0"/>
          <w:strike w:val="0"/>
          <w:u w:val="single"/>
        </w:rPr>
        <w:t xml:space="preserve"> “</w:t>
      </w:r>
      <w:r>
        <w:rPr>
          <w:b/>
          <w:i w:val="0"/>
          <w:smallCaps w:val="0"/>
          <w:strike w:val="0"/>
          <w:highlight w:val="cyan"/>
          <w:u w:val="single"/>
        </w:rPr>
        <w:t>of such</w:t>
      </w:r>
      <w:r>
        <w:rPr>
          <w:b/>
          <w:i w:val="0"/>
          <w:smallCaps w:val="0"/>
          <w:strike w:val="0"/>
          <w:u w:val="single"/>
        </w:rPr>
        <w:t xml:space="preserve"> a nature and </w:t>
      </w:r>
      <w:r>
        <w:rPr>
          <w:b/>
          <w:i w:val="0"/>
          <w:smallCaps w:val="0"/>
          <w:strike w:val="0"/>
          <w:highlight w:val="cyan"/>
          <w:u w:val="single"/>
        </w:rPr>
        <w:t>extent</w:t>
      </w:r>
      <w:r>
        <w:rPr>
          <w:b/>
          <w:i w:val="0"/>
          <w:smallCaps w:val="0"/>
          <w:strike w:val="0"/>
          <w:u w:val="single"/>
        </w:rPr>
        <w:t xml:space="preserve"> as </w:t>
      </w:r>
      <w:r>
        <w:rPr>
          <w:b/>
          <w:i w:val="0"/>
          <w:smallCaps w:val="0"/>
          <w:strike w:val="0"/>
          <w:highlight w:val="cyan"/>
          <w:u w:val="single"/>
        </w:rPr>
        <w:t>to create public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identification</w:t>
      </w:r>
      <w:r>
        <w:rPr>
          <w:b/>
          <w:i w:val="0"/>
          <w:smallCaps w:val="0"/>
          <w:strike w:val="0"/>
          <w:u w:val="single"/>
        </w:rPr>
        <w:t xml:space="preserve"> of the target term with the opposer's product</w:t>
      </w:r>
      <w:r>
        <w:rPr>
          <w:b w:val="0"/>
          <w:i w:val="0"/>
          <w:smallCaps w:val="0"/>
          <w:strike w:val="0"/>
          <w:sz w:val="16"/>
          <w:u w:val="none"/>
        </w:rPr>
        <w:t>.”   T.A.B. Sys., 77 F.3d at 1375.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Bestseller</w:t>
      </w:r>
      <w:r>
        <w:rPr>
          <w:b/>
          <w:i w:val="0"/>
          <w:smallCaps w:val="0"/>
          <w:strike w:val="0"/>
          <w:u w:val="single"/>
        </w:rPr>
        <w:t>'s</w:t>
      </w:r>
      <w:r>
        <w:rPr>
          <w:b/>
          <w:i w:val="0"/>
          <w:smallCaps w:val="0"/>
          <w:strike w:val="0"/>
          <w:u w:val="single"/>
        </w:rPr>
        <w:t xml:space="preserve"> allegations </w:t>
      </w:r>
      <w:r>
        <w:rPr>
          <w:b/>
          <w:i w:val="0"/>
          <w:smallCaps w:val="0"/>
          <w:strike w:val="0"/>
          <w:highlight w:val="cyan"/>
          <w:u w:val="single"/>
        </w:rPr>
        <w:t>fall short</w:t>
      </w:r>
      <w:r>
        <w:rPr>
          <w:b/>
          <w:i w:val="0"/>
          <w:smallCaps w:val="0"/>
          <w:strike w:val="0"/>
          <w:u w:val="single"/>
        </w:rPr>
        <w:t xml:space="preserve"> of showing a sale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whether in the United States or to an American abroad, as the beginning of a continuous commercial exploitation of the Jack &amp; Jones mark in the United </w:t>
      </w:r>
      <w:r>
        <w:rPr>
          <w:b w:val="0"/>
          <w:i w:val="0"/>
          <w:smallCaps w:val="0"/>
          <w:strike w:val="0"/>
          <w:sz w:val="16"/>
          <w:u w:val="none"/>
        </w:rPr>
        <w:t>States;  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do give fair notice of a claim to analogous use.   </w:t>
      </w:r>
      <w:r>
        <w:rPr>
          <w:b w:val="0"/>
          <w:i w:val="0"/>
          <w:smallCaps w:val="0"/>
          <w:strike w:val="0"/>
          <w:u w:val="single"/>
        </w:rPr>
        <w:t xml:space="preserve">While Bestseller clearly sells millions of </w:t>
      </w:r>
      <w:r>
        <w:rPr>
          <w:b w:val="0"/>
          <w:i w:val="0"/>
          <w:smallCaps w:val="0"/>
          <w:strike w:val="0"/>
          <w:u w:val="single"/>
        </w:rPr>
        <w:t>dollars worth</w:t>
      </w:r>
      <w:r>
        <w:rPr>
          <w:b w:val="0"/>
          <w:i w:val="0"/>
          <w:smallCaps w:val="0"/>
          <w:strike w:val="0"/>
          <w:u w:val="single"/>
        </w:rPr>
        <w:t xml:space="preserve"> of Jack &amp; Jones branded clothing elsewhere in the world, it </w:t>
      </w:r>
      <w:r>
        <w:rPr>
          <w:b w:val="0"/>
          <w:i w:val="0"/>
          <w:smallCaps w:val="0"/>
          <w:strike w:val="0"/>
          <w:highlight w:val="cyan"/>
          <w:u w:val="single"/>
        </w:rPr>
        <w:t>fails to allege</w:t>
      </w:r>
      <w:r>
        <w:rPr>
          <w:b w:val="0"/>
          <w:i w:val="0"/>
          <w:smallCaps w:val="0"/>
          <w:strike w:val="0"/>
          <w:u w:val="single"/>
        </w:rPr>
        <w:t xml:space="preserve"> any </w:t>
      </w:r>
      <w:r>
        <w:rPr>
          <w:b w:val="0"/>
          <w:i w:val="0"/>
          <w:smallCaps w:val="0"/>
          <w:strike w:val="0"/>
          <w:highlight w:val="cyan"/>
          <w:u w:val="single"/>
        </w:rPr>
        <w:t>sales</w:t>
      </w:r>
      <w:r>
        <w:rPr>
          <w:b w:val="0"/>
          <w:i w:val="0"/>
          <w:smallCaps w:val="0"/>
          <w:strike w:val="0"/>
          <w:u w:val="single"/>
        </w:rPr>
        <w:t xml:space="preserve"> in the United States or to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  The closest Bestseller comes is saying this clothing “has been available to U.S. consumers through Bestseller's foreign customers and stores as well as through re-sales on eBay.com.” Am. </w:t>
      </w:r>
      <w:r>
        <w:rPr>
          <w:b w:val="0"/>
          <w:i w:val="0"/>
          <w:smallCaps w:val="0"/>
          <w:strike w:val="0"/>
          <w:sz w:val="16"/>
          <w:u w:val="none"/>
        </w:rPr>
        <w:t>Compl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 14.   </w:t>
      </w:r>
      <w:r>
        <w:rPr>
          <w:b w:val="0"/>
          <w:i w:val="0"/>
          <w:smallCaps w:val="0"/>
          <w:strike w:val="0"/>
          <w:u w:val="single"/>
        </w:rPr>
        <w:t xml:space="preserve">This allegation does not imply any American sales at all, </w:t>
      </w:r>
      <w:r>
        <w:rPr>
          <w:b w:val="0"/>
          <w:i w:val="0"/>
          <w:smallCaps w:val="0"/>
          <w:strike w:val="0"/>
          <w:highlight w:val="cyan"/>
          <w:u w:val="single"/>
        </w:rPr>
        <w:t>much less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continuous</w:t>
      </w:r>
      <w:r>
        <w:rPr>
          <w:b w:val="0"/>
          <w:i w:val="0"/>
          <w:smallCaps w:val="0"/>
          <w:strike w:val="0"/>
          <w:u w:val="single"/>
        </w:rPr>
        <w:t xml:space="preserve"> commercial </w:t>
      </w:r>
      <w:r>
        <w:rPr>
          <w:b w:val="0"/>
          <w:i w:val="0"/>
          <w:smallCaps w:val="0"/>
          <w:strike w:val="0"/>
          <w:highlight w:val="cyan"/>
          <w:u w:val="single"/>
        </w:rPr>
        <w:t>sales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