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AFF is </w:t>
      </w:r>
      <w:r>
        <w:rPr>
          <w:b/>
          <w:i w:val="0"/>
          <w:smallCaps w:val="0"/>
          <w:strike w:val="0"/>
          <w:sz w:val="26"/>
          <w:u w:val="single"/>
        </w:rPr>
        <w:t>not inherent</w:t>
      </w:r>
      <w:r>
        <w:rPr>
          <w:b/>
          <w:i w:val="0"/>
          <w:smallCaps w:val="0"/>
          <w:strike w:val="0"/>
          <w:sz w:val="26"/>
          <w:u w:val="none"/>
        </w:rPr>
        <w:t>—“</w:t>
      </w:r>
      <w:r>
        <w:rPr>
          <w:b/>
          <w:i w:val="0"/>
          <w:smallCaps w:val="0"/>
          <w:strike w:val="0"/>
          <w:sz w:val="26"/>
          <w:u w:val="none"/>
        </w:rPr>
        <w:t xml:space="preserve">good faith”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(see: </w:t>
      </w:r>
      <w:r>
        <w:rPr>
          <w:b w:val="0"/>
          <w:i/>
          <w:smallCaps w:val="0"/>
          <w:strike w:val="0"/>
          <w:sz w:val="26"/>
          <w:u w:val="none"/>
        </w:rPr>
        <w:t>bona fide</w:t>
      </w:r>
      <w:r>
        <w:rPr>
          <w:b w:val="0"/>
          <w:i w:val="0"/>
          <w:smallCaps w:val="0"/>
          <w:strike w:val="0"/>
          <w:sz w:val="26"/>
          <w:u w:val="none"/>
        </w:rPr>
        <w:t>)</w:t>
      </w:r>
      <w:r>
        <w:rPr>
          <w:b/>
          <w:i w:val="0"/>
          <w:smallCaps w:val="0"/>
          <w:strike w:val="0"/>
          <w:sz w:val="26"/>
          <w:u w:val="none"/>
        </w:rPr>
        <w:t xml:space="preserve">, “de minimis” use is the </w:t>
      </w:r>
      <w:r>
        <w:rPr>
          <w:b/>
          <w:i w:val="0"/>
          <w:smallCaps w:val="0"/>
          <w:strike w:val="0"/>
          <w:sz w:val="26"/>
          <w:u w:val="single"/>
        </w:rPr>
        <w:t>status quo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Miletti</w:t>
      </w:r>
      <w:r>
        <w:rPr>
          <w:b/>
          <w:i w:val="0"/>
          <w:smallCaps w:val="0"/>
          <w:strike w:val="0"/>
          <w:sz w:val="26"/>
          <w:u w:val="none"/>
        </w:rPr>
        <w:t xml:space="preserve"> 22</w:t>
      </w:r>
      <w:r>
        <w:rPr>
          <w:b w:val="0"/>
          <w:i w:val="0"/>
          <w:smallCaps w:val="0"/>
          <w:strike w:val="0"/>
          <w:u w:val="none"/>
        </w:rPr>
        <w:t xml:space="preserve"> (Law Office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Vincent </w:t>
      </w:r>
      <w:r>
        <w:rPr>
          <w:b w:val="0"/>
          <w:i w:val="0"/>
          <w:smallCaps w:val="0"/>
          <w:strike w:val="0"/>
          <w:u w:val="none"/>
        </w:rPr>
        <w:t>Miletti</w:t>
      </w:r>
      <w:r>
        <w:rPr>
          <w:b w:val="0"/>
          <w:i w:val="0"/>
          <w:smallCaps w:val="0"/>
          <w:strike w:val="0"/>
          <w:u w:val="none"/>
        </w:rPr>
        <w:t>, an IP law firm that probably knows its stuff about IP</w:t>
      </w:r>
      <w:r>
        <w:rPr>
          <w:b w:val="0"/>
          <w:i w:val="0"/>
          <w:smallCaps w:val="0"/>
          <w:strike w:val="0"/>
          <w:u w:val="none"/>
        </w:rPr>
        <w:t xml:space="preserve">; "Losing/Terminating Trademark Rights through "Abandonment”", 6-23-2022, Law Office of Vincent </w:t>
      </w:r>
      <w:r>
        <w:rPr>
          <w:b w:val="0"/>
          <w:i w:val="0"/>
          <w:smallCaps w:val="0"/>
          <w:strike w:val="0"/>
          <w:u w:val="none"/>
        </w:rPr>
        <w:t>Miletti</w:t>
      </w:r>
      <w:r>
        <w:rPr>
          <w:b w:val="0"/>
          <w:i w:val="0"/>
          <w:smallCaps w:val="0"/>
          <w:strike w:val="0"/>
          <w:u w:val="none"/>
        </w:rPr>
        <w:t>, Esq., https://milettilaw.com/losing-terminating-trademark-rights-through-abandonment/, DOA: 7-18-2024)//ATJ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although abandonment could be prevented 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de minimis use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a trademark, the law requires such use not to be merely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token defensive 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good faith use</w:t>
      </w:r>
      <w:r>
        <w:rPr>
          <w:b w:val="0"/>
          <w:i w:val="0"/>
          <w:smallCaps w:val="0"/>
          <w:strike w:val="0"/>
          <w:sz w:val="3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 the intention of preserving a right in a mark,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which, consequently, leads to abandonment. The trademark law also allows mark owners to cease using one version of a mark in favor of a modified one without the former being abandoned as long as a similar, continuous commercial impression is derived from the first and modified versions of the same mark.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