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It’s </w:t>
      </w:r>
      <w:r>
        <w:rPr>
          <w:b/>
          <w:i w:val="0"/>
          <w:smallCaps w:val="0"/>
          <w:strike w:val="0"/>
          <w:sz w:val="26"/>
          <w:u w:val="single"/>
        </w:rPr>
        <w:t>standard</w:t>
      </w:r>
      <w:r>
        <w:rPr>
          <w:b/>
          <w:i w:val="0"/>
          <w:smallCaps w:val="0"/>
          <w:strike w:val="0"/>
          <w:sz w:val="26"/>
          <w:u w:val="none"/>
        </w:rPr>
        <w:t xml:space="preserve"> in </w:t>
      </w:r>
      <w:r>
        <w:rPr>
          <w:b/>
          <w:i w:val="0"/>
          <w:smallCaps w:val="0"/>
          <w:strike w:val="0"/>
          <w:sz w:val="26"/>
          <w:u w:val="single"/>
        </w:rPr>
        <w:t>trademark registration</w:t>
      </w:r>
      <w:r>
        <w:rPr>
          <w:b/>
          <w:i w:val="0"/>
          <w:smallCaps w:val="0"/>
          <w:strike w:val="0"/>
          <w:sz w:val="26"/>
          <w:u w:val="none"/>
        </w:rPr>
        <w:t xml:space="preserve"> cases. Reject </w:t>
      </w:r>
      <w:r>
        <w:rPr>
          <w:b/>
          <w:i w:val="0"/>
          <w:smallCaps w:val="0"/>
          <w:strike w:val="0"/>
          <w:sz w:val="26"/>
          <w:u w:val="none"/>
        </w:rPr>
        <w:t>ev</w:t>
      </w:r>
      <w:r>
        <w:rPr>
          <w:b/>
          <w:i w:val="0"/>
          <w:smallCaps w:val="0"/>
          <w:strike w:val="0"/>
          <w:sz w:val="26"/>
          <w:u w:val="none"/>
        </w:rPr>
        <w:t xml:space="preserve"> </w:t>
      </w:r>
      <w:r>
        <w:rPr>
          <w:b w:val="0"/>
          <w:i w:val="0"/>
          <w:smallCaps w:val="0"/>
          <w:strike w:val="0"/>
          <w:sz w:val="26"/>
          <w:u w:val="none"/>
        </w:rPr>
        <w:t>(like their 2015 solvency advocate</w:t>
      </w:r>
      <w:r>
        <w:rPr>
          <w:b w:val="0"/>
          <w:i w:val="0"/>
          <w:smallCaps w:val="0"/>
          <w:strike w:val="0"/>
          <w:sz w:val="26"/>
          <w:u w:val="none"/>
        </w:rPr>
        <w:t xml:space="preserve"> </w:t>
      </w:r>
      <w:r>
        <w:rPr>
          <w:b w:val="0"/>
          <w:i w:val="0"/>
          <w:smallCaps w:val="0"/>
          <w:strike w:val="0"/>
          <w:sz w:val="26"/>
          <w:u w:val="none"/>
        </w:rPr>
        <w:t>👀</w:t>
      </w:r>
      <w:r>
        <w:rPr>
          <w:b w:val="0"/>
          <w:i w:val="0"/>
          <w:smallCaps w:val="0"/>
          <w:strike w:val="0"/>
          <w:sz w:val="26"/>
          <w:u w:val="none"/>
        </w:rPr>
        <w:t>)</w:t>
      </w:r>
      <w:r>
        <w:rPr>
          <w:b/>
          <w:i w:val="0"/>
          <w:smallCaps w:val="0"/>
          <w:strike w:val="0"/>
          <w:sz w:val="26"/>
          <w:u w:val="none"/>
        </w:rPr>
        <w:t xml:space="preserve"> </w:t>
      </w:r>
      <w:r>
        <w:rPr>
          <w:b/>
          <w:i w:val="0"/>
          <w:smallCaps w:val="0"/>
          <w:strike w:val="0"/>
          <w:sz w:val="26"/>
          <w:u w:val="single"/>
        </w:rPr>
        <w:t>before</w:t>
      </w:r>
      <w:r>
        <w:rPr>
          <w:b/>
          <w:i w:val="0"/>
          <w:smallCaps w:val="0"/>
          <w:strike w:val="0"/>
          <w:sz w:val="26"/>
          <w:u w:val="none"/>
        </w:rPr>
        <w:t xml:space="preserve"> late 2016.</w:t>
      </w:r>
    </w:p>
    <w:p>
      <w:pPr>
        <w:spacing w:after="80"/>
      </w:pPr>
      <w:r>
        <w:rPr>
          <w:b w:val="0"/>
          <w:i w:val="0"/>
          <w:smallCaps w:val="0"/>
          <w:strike w:val="0"/>
          <w:u w:val="none"/>
        </w:rPr>
        <w:t>Lines from the AFF explanation section are illuminating here (my emphasis):</w:t>
      </w:r>
    </w:p>
    <w:p>
      <w:pPr>
        <w:spacing w:after="60"/>
      </w:pPr>
      <w:r>
        <w:rPr>
          <w:b w:val="0"/>
          <w:i w:val="0"/>
          <w:smallCaps w:val="0"/>
          <w:strike w:val="0"/>
          <w:u w:val="none"/>
        </w:rPr>
        <w:t xml:space="preserve">“This means that even if a business is only having a few sales, debatably meeting the new “minimal use” requirement, if they are investing heavily in advertising and putting sincere efforts to raise their sales, then </w:t>
      </w:r>
      <w:r>
        <w:rPr>
          <w:b/>
          <w:i w:val="0"/>
          <w:smallCaps w:val="0"/>
          <w:strike w:val="0"/>
          <w:sz w:val="24"/>
          <w:u w:val="single"/>
        </w:rPr>
        <w:t>they maintain the trademark</w:t>
      </w:r>
      <w:r>
        <w:rPr>
          <w:b w:val="0"/>
          <w:i w:val="0"/>
          <w:smallCaps w:val="0"/>
          <w:strike w:val="0"/>
          <w:u w:val="none"/>
        </w:rPr>
        <w:t>.”</w:t>
      </w:r>
    </w:p>
    <w:p>
      <w:pPr>
        <w:spacing w:after="60"/>
      </w:pPr>
      <w:r>
        <w:rPr>
          <w:b w:val="0"/>
          <w:i w:val="0"/>
          <w:smallCaps w:val="0"/>
          <w:strike w:val="0"/>
          <w:u w:val="none"/>
        </w:rPr>
        <w:t>Maintenance is solved—CFFC vs Adidas below</w:t>
      </w:r>
    </w:p>
    <w:p>
      <w:pPr>
        <w:spacing w:after="60"/>
      </w:pPr>
      <w:r>
        <w:rPr>
          <w:b w:val="0"/>
          <w:i w:val="0"/>
          <w:smallCaps w:val="0"/>
          <w:strike w:val="0"/>
          <w:u w:val="none"/>
        </w:rPr>
        <w:t xml:space="preserve">“Thus, when the AFF implements their de minimis requirement, it means that businesses do not have to sell the currently required large </w:t>
      </w:r>
      <w:r>
        <w:rPr>
          <w:b w:val="0"/>
          <w:i w:val="0"/>
          <w:smallCaps w:val="0"/>
          <w:strike w:val="0"/>
          <w:u w:val="none"/>
        </w:rPr>
        <w:t>amount</w:t>
      </w:r>
      <w:r>
        <w:rPr>
          <w:b w:val="0"/>
          <w:i w:val="0"/>
          <w:smallCaps w:val="0"/>
          <w:strike w:val="0"/>
          <w:u w:val="none"/>
        </w:rPr>
        <w:t xml:space="preserve"> of sales to qualify their trademark, but rather need to only meet a minimal, small amount of sales to </w:t>
      </w:r>
      <w:r>
        <w:rPr>
          <w:b/>
          <w:i w:val="0"/>
          <w:smallCaps w:val="0"/>
          <w:strike w:val="0"/>
          <w:sz w:val="24"/>
          <w:u w:val="single"/>
        </w:rPr>
        <w:t>keep</w:t>
      </w:r>
      <w:r>
        <w:rPr>
          <w:b w:val="0"/>
          <w:i w:val="0"/>
          <w:smallCaps w:val="0"/>
          <w:strike w:val="0"/>
          <w:u w:val="none"/>
        </w:rPr>
        <w:t xml:space="preserve"> the mark”</w:t>
      </w:r>
    </w:p>
    <w:p>
      <w:pPr>
        <w:spacing w:after="60"/>
      </w:pPr>
      <w:r>
        <w:rPr>
          <w:b w:val="0"/>
          <w:i w:val="0"/>
          <w:smallCaps w:val="0"/>
          <w:strike w:val="0"/>
          <w:u w:val="none"/>
        </w:rPr>
        <w:t xml:space="preserve">See: “de minimis use…prior to filing…was not a failure to use the registered mark in commerce” below; it’s about </w:t>
      </w:r>
      <w:r>
        <w:rPr>
          <w:b w:val="0"/>
          <w:i w:val="0"/>
          <w:smallCaps w:val="0"/>
          <w:strike w:val="0"/>
          <w:u w:val="single"/>
        </w:rPr>
        <w:t>keeping</w:t>
      </w:r>
      <w:r>
        <w:rPr>
          <w:b w:val="0"/>
          <w:i w:val="0"/>
          <w:smallCaps w:val="0"/>
          <w:strike w:val="0"/>
          <w:u w:val="none"/>
        </w:rPr>
        <w:t xml:space="preserve"> the mark.</w:t>
      </w:r>
    </w:p>
    <w:p>
      <w:pPr>
        <w:spacing w:after="60"/>
      </w:pPr>
      <w:r>
        <w:rPr>
          <w:b/>
          <w:i w:val="0"/>
          <w:smallCaps w:val="0"/>
          <w:strike w:val="0"/>
          <w:sz w:val="26"/>
          <w:u w:val="none"/>
        </w:rPr>
        <w:t>Emery 16</w:t>
      </w:r>
      <w:r>
        <w:rPr>
          <w:b w:val="0"/>
          <w:i w:val="0"/>
          <w:smallCaps w:val="0"/>
          <w:strike w:val="0"/>
          <w:u w:val="none"/>
        </w:rPr>
        <w:t xml:space="preserve"> </w:t>
      </w:r>
      <w:r>
        <w:rPr>
          <w:b w:val="0"/>
          <w:i w:val="0"/>
          <w:smallCaps w:val="0"/>
          <w:strike w:val="0"/>
          <w:u w:val="none"/>
        </w:rPr>
        <w:t>(</w:t>
      </w:r>
      <w:r>
        <w:rPr>
          <w:b w:val="0"/>
          <w:i w:val="0"/>
          <w:smallCaps w:val="0"/>
          <w:strike w:val="0"/>
          <w:u w:val="none"/>
        </w:rPr>
        <w:t>McDermott Will &amp; Emery, one of the highest-grossing international law firms in the world</w:t>
      </w:r>
      <w:r>
        <w:rPr>
          <w:b w:val="0"/>
          <w:i w:val="0"/>
          <w:smallCaps w:val="0"/>
          <w:strike w:val="0"/>
          <w:u w:val="none"/>
        </w:rPr>
        <w:t xml:space="preserve">; "Satisfaction of Lanham Act Use “in Commerce” Requirement Does Not Require Much", </w:t>
      </w:r>
      <w:r>
        <w:rPr>
          <w:b w:val="0"/>
          <w:i w:val="0"/>
          <w:smallCaps w:val="0"/>
          <w:strike w:val="0"/>
          <w:u w:val="none"/>
        </w:rPr>
        <w:t>12-29</w:t>
      </w:r>
      <w:r>
        <w:rPr>
          <w:b w:val="0"/>
          <w:i w:val="0"/>
          <w:smallCaps w:val="0"/>
          <w:strike w:val="0"/>
          <w:u w:val="none"/>
        </w:rPr>
        <w:t>-</w:t>
      </w:r>
      <w:r>
        <w:rPr>
          <w:b w:val="0"/>
          <w:i w:val="0"/>
          <w:smallCaps w:val="0"/>
          <w:strike w:val="0"/>
          <w:u w:val="none"/>
        </w:rPr>
        <w:t>2016</w:t>
      </w:r>
      <w:r>
        <w:rPr>
          <w:b w:val="0"/>
          <w:i w:val="0"/>
          <w:smallCaps w:val="0"/>
          <w:strike w:val="0"/>
          <w:u w:val="none"/>
        </w:rPr>
        <w:t xml:space="preserve">, </w:t>
      </w:r>
      <w:r>
        <w:rPr>
          <w:b w:val="0"/>
          <w:i w:val="0"/>
          <w:smallCaps w:val="0"/>
          <w:strike w:val="0"/>
          <w:u w:val="none"/>
        </w:rPr>
        <w:t>Nat Law Review</w:t>
      </w:r>
      <w:r>
        <w:rPr>
          <w:b w:val="0"/>
          <w:i w:val="0"/>
          <w:smallCaps w:val="0"/>
          <w:strike w:val="0"/>
          <w:u w:val="none"/>
        </w:rPr>
        <w:t xml:space="preserve">, https://natlawreview.com/article/satisfaction-lanham-act-use-commerce-requirement-does-not-require-much, DOA: </w:t>
      </w:r>
      <w:r>
        <w:rPr>
          <w:b w:val="0"/>
          <w:i w:val="0"/>
          <w:smallCaps w:val="0"/>
          <w:strike w:val="0"/>
          <w:u w:val="none"/>
        </w:rPr>
        <w:t>7-19-</w:t>
      </w:r>
      <w:r>
        <w:rPr>
          <w:b w:val="0"/>
          <w:i w:val="0"/>
          <w:smallCaps w:val="0"/>
          <w:strike w:val="0"/>
          <w:u w:val="none"/>
        </w:rPr>
        <w:t>2024)//ATJ</w:t>
      </w:r>
    </w:p>
    <w:p>
      <w:pPr>
        <w:spacing w:after="60"/>
      </w:pPr>
      <w:r>
        <w:rPr>
          <w:b w:val="0"/>
          <w:i w:val="0"/>
          <w:smallCaps w:val="0"/>
          <w:strike w:val="0"/>
          <w:sz w:val="22"/>
          <w:highlight w:val="cyan"/>
          <w:u w:val="single"/>
        </w:rPr>
        <w:t>In a decision addressing the</w:t>
      </w:r>
      <w:r>
        <w:rPr>
          <w:b w:val="0"/>
          <w:i w:val="0"/>
          <w:smallCaps w:val="0"/>
          <w:strike w:val="0"/>
          <w:sz w:val="22"/>
          <w:u w:val="single"/>
        </w:rPr>
        <w:t xml:space="preserve"> use </w:t>
      </w:r>
      <w:r>
        <w:rPr>
          <w:b w:val="0"/>
          <w:i w:val="0"/>
          <w:smallCaps w:val="0"/>
          <w:strike w:val="0"/>
          <w:sz w:val="22"/>
          <w:highlight w:val="cyan"/>
          <w:u w:val="single"/>
        </w:rPr>
        <w:t>“</w:t>
      </w:r>
      <w:r>
        <w:rPr>
          <w:b/>
          <w:i w:val="0"/>
          <w:smallCaps w:val="0"/>
          <w:strike w:val="0"/>
          <w:sz w:val="24"/>
          <w:highlight w:val="cyan"/>
          <w:u w:val="single"/>
        </w:rPr>
        <w:t>in commerce</w:t>
      </w:r>
      <w:r>
        <w:rPr>
          <w:b w:val="0"/>
          <w:i w:val="0"/>
          <w:smallCaps w:val="0"/>
          <w:strike w:val="0"/>
          <w:sz w:val="22"/>
          <w:highlight w:val="cyan"/>
          <w:u w:val="single"/>
        </w:rPr>
        <w:t>”</w:t>
      </w:r>
      <w:r>
        <w:rPr>
          <w:b w:val="0"/>
          <w:i w:val="0"/>
          <w:smallCaps w:val="0"/>
          <w:strike w:val="0"/>
          <w:sz w:val="22"/>
          <w:u w:val="single"/>
        </w:rPr>
        <w:t xml:space="preserve"> </w:t>
      </w:r>
      <w:r>
        <w:rPr>
          <w:b w:val="0"/>
          <w:i w:val="0"/>
          <w:smallCaps w:val="0"/>
          <w:strike w:val="0"/>
          <w:sz w:val="22"/>
          <w:highlight w:val="cyan"/>
          <w:u w:val="single"/>
        </w:rPr>
        <w:t>requirement under</w:t>
      </w:r>
      <w:r>
        <w:rPr>
          <w:b w:val="0"/>
          <w:i w:val="0"/>
          <w:smallCaps w:val="0"/>
          <w:strike w:val="0"/>
          <w:sz w:val="22"/>
          <w:u w:val="single"/>
        </w:rPr>
        <w:t xml:space="preserve"> the </w:t>
      </w:r>
      <w:r>
        <w:rPr>
          <w:b/>
          <w:i w:val="0"/>
          <w:smallCaps w:val="0"/>
          <w:strike w:val="0"/>
          <w:sz w:val="24"/>
          <w:highlight w:val="cyan"/>
          <w:u w:val="single"/>
        </w:rPr>
        <w:t>Lanham</w:t>
      </w:r>
      <w:r>
        <w:rPr>
          <w:b w:val="0"/>
          <w:i w:val="0"/>
          <w:smallCaps w:val="0"/>
          <w:strike w:val="0"/>
          <w:sz w:val="22"/>
          <w:u w:val="single"/>
        </w:rPr>
        <w:t xml:space="preserve"> Act</w:t>
      </w:r>
      <w:r>
        <w:rPr>
          <w:b w:val="0"/>
          <w:i w:val="0"/>
          <w:smallCaps w:val="0"/>
          <w:strike w:val="0"/>
          <w:sz w:val="22"/>
          <w:highlight w:val="cyan"/>
          <w:u w:val="single"/>
        </w:rPr>
        <w:t>,</w:t>
      </w:r>
      <w:r>
        <w:rPr>
          <w:b w:val="0"/>
          <w:i w:val="0"/>
          <w:smallCaps w:val="0"/>
          <w:strike w:val="0"/>
          <w:sz w:val="22"/>
          <w:u w:val="single"/>
        </w:rPr>
        <w:t xml:space="preserve"> </w:t>
      </w:r>
      <w:r>
        <w:rPr>
          <w:b w:val="0"/>
          <w:i w:val="0"/>
          <w:smallCaps w:val="0"/>
          <w:strike w:val="0"/>
          <w:sz w:val="22"/>
          <w:highlight w:val="cyan"/>
          <w:u w:val="single"/>
        </w:rPr>
        <w:t>the</w:t>
      </w:r>
      <w:r>
        <w:rPr>
          <w:b w:val="0"/>
          <w:i w:val="0"/>
          <w:smallCaps w:val="0"/>
          <w:strike w:val="0"/>
          <w:sz w:val="22"/>
          <w:u w:val="single"/>
        </w:rPr>
        <w:t xml:space="preserve"> US </w:t>
      </w:r>
      <w:r>
        <w:rPr>
          <w:b/>
          <w:i w:val="0"/>
          <w:smallCaps w:val="0"/>
          <w:strike w:val="0"/>
          <w:sz w:val="24"/>
          <w:highlight w:val="cyan"/>
          <w:u w:val="single"/>
        </w:rPr>
        <w:t>Court of Appeals</w:t>
      </w:r>
      <w:r>
        <w:rPr>
          <w:b w:val="0"/>
          <w:i w:val="0"/>
          <w:smallCaps w:val="0"/>
          <w:strike w:val="0"/>
          <w:sz w:val="22"/>
          <w:u w:val="single"/>
        </w:rPr>
        <w:t xml:space="preserve"> for the Federal Circuit </w:t>
      </w:r>
      <w:r>
        <w:rPr>
          <w:b w:val="0"/>
          <w:i w:val="0"/>
          <w:smallCaps w:val="0"/>
          <w:strike w:val="0"/>
          <w:sz w:val="22"/>
          <w:highlight w:val="cyan"/>
          <w:u w:val="single"/>
        </w:rPr>
        <w:t>reversed</w:t>
      </w:r>
      <w:r>
        <w:rPr>
          <w:b w:val="0"/>
          <w:i w:val="0"/>
          <w:smallCaps w:val="0"/>
          <w:strike w:val="0"/>
          <w:sz w:val="22"/>
          <w:u w:val="single"/>
        </w:rPr>
        <w:t xml:space="preserve"> and remanded </w:t>
      </w:r>
      <w:r>
        <w:rPr>
          <w:b w:val="0"/>
          <w:i w:val="0"/>
          <w:smallCaps w:val="0"/>
          <w:strike w:val="0"/>
          <w:sz w:val="22"/>
          <w:highlight w:val="cyan"/>
          <w:u w:val="single"/>
        </w:rPr>
        <w:t>a</w:t>
      </w:r>
      <w:r>
        <w:rPr>
          <w:b w:val="0"/>
          <w:i w:val="0"/>
          <w:smallCaps w:val="0"/>
          <w:strike w:val="0"/>
          <w:sz w:val="16"/>
          <w:u w:val="none"/>
        </w:rPr>
        <w:t xml:space="preserve"> Trademark Trial and Appeal Board (</w:t>
      </w:r>
      <w:r>
        <w:rPr>
          <w:b/>
          <w:i w:val="0"/>
          <w:smallCaps w:val="0"/>
          <w:strike w:val="0"/>
          <w:sz w:val="24"/>
          <w:highlight w:val="cyan"/>
          <w:u w:val="single"/>
        </w:rPr>
        <w:t>TTAB</w:t>
      </w:r>
      <w:r>
        <w:rPr>
          <w:b w:val="0"/>
          <w:i w:val="0"/>
          <w:smallCaps w:val="0"/>
          <w:strike w:val="0"/>
          <w:sz w:val="16"/>
          <w:u w:val="none"/>
        </w:rPr>
        <w:t xml:space="preserve">) </w:t>
      </w:r>
      <w:r>
        <w:rPr>
          <w:b w:val="0"/>
          <w:i w:val="0"/>
          <w:smallCaps w:val="0"/>
          <w:strike w:val="0"/>
          <w:sz w:val="22"/>
          <w:highlight w:val="cyan"/>
          <w:u w:val="single"/>
        </w:rPr>
        <w:t>decision</w:t>
      </w:r>
      <w:r>
        <w:rPr>
          <w:b w:val="0"/>
          <w:i w:val="0"/>
          <w:smallCaps w:val="0"/>
          <w:strike w:val="0"/>
          <w:sz w:val="22"/>
          <w:u w:val="single"/>
        </w:rPr>
        <w:t xml:space="preserve"> </w:t>
      </w:r>
      <w:r>
        <w:rPr>
          <w:b w:val="0"/>
          <w:i w:val="0"/>
          <w:smallCaps w:val="0"/>
          <w:strike w:val="0"/>
          <w:sz w:val="22"/>
          <w:highlight w:val="cyan"/>
          <w:u w:val="single"/>
        </w:rPr>
        <w:t xml:space="preserve">cancelling a trademark </w:t>
      </w:r>
      <w:r>
        <w:rPr>
          <w:b/>
          <w:i w:val="0"/>
          <w:smallCaps w:val="0"/>
          <w:strike w:val="0"/>
          <w:sz w:val="24"/>
          <w:highlight w:val="cyan"/>
          <w:u w:val="single"/>
        </w:rPr>
        <w:t>registration</w:t>
      </w:r>
      <w:r>
        <w:rPr>
          <w:b w:val="0"/>
          <w:i w:val="0"/>
          <w:smallCaps w:val="0"/>
          <w:strike w:val="0"/>
          <w:sz w:val="22"/>
          <w:highlight w:val="cyan"/>
          <w:u w:val="single"/>
        </w:rPr>
        <w:t>,</w:t>
      </w:r>
      <w:r>
        <w:rPr>
          <w:b w:val="0"/>
          <w:i w:val="0"/>
          <w:smallCaps w:val="0"/>
          <w:strike w:val="0"/>
          <w:sz w:val="16"/>
          <w:u w:val="none"/>
        </w:rPr>
        <w:t xml:space="preserve"> </w:t>
      </w:r>
      <w:r>
        <w:rPr>
          <w:b w:val="0"/>
          <w:i w:val="0"/>
          <w:smallCaps w:val="0"/>
          <w:strike w:val="0"/>
          <w:sz w:val="22"/>
          <w:highlight w:val="cyan"/>
          <w:u w:val="single"/>
        </w:rPr>
        <w:t>explaining that the registrant’s</w:t>
      </w:r>
      <w:r>
        <w:rPr>
          <w:b w:val="0"/>
          <w:i w:val="0"/>
          <w:smallCaps w:val="0"/>
          <w:strike w:val="0"/>
          <w:sz w:val="22"/>
          <w:u w:val="single"/>
        </w:rPr>
        <w:t xml:space="preserve"> </w:t>
      </w:r>
      <w:r>
        <w:rPr>
          <w:b/>
          <w:i w:val="0"/>
          <w:smallCaps w:val="0"/>
          <w:strike w:val="0"/>
          <w:sz w:val="24"/>
          <w:highlight w:val="cyan"/>
          <w:u w:val="single"/>
        </w:rPr>
        <w:t>de minimis use</w:t>
      </w:r>
      <w:r>
        <w:rPr>
          <w:b w:val="0"/>
          <w:i w:val="0"/>
          <w:smallCaps w:val="0"/>
          <w:strike w:val="0"/>
          <w:sz w:val="22"/>
          <w:u w:val="single"/>
        </w:rPr>
        <w:t xml:space="preserve"> of the trademark in commerce </w:t>
      </w:r>
      <w:r>
        <w:rPr>
          <w:b/>
          <w:i w:val="0"/>
          <w:smallCaps w:val="0"/>
          <w:strike w:val="0"/>
          <w:sz w:val="24"/>
          <w:highlight w:val="cyan"/>
          <w:u w:val="single"/>
        </w:rPr>
        <w:t>prior to filing</w:t>
      </w:r>
      <w:r>
        <w:rPr>
          <w:b w:val="0"/>
          <w:i w:val="0"/>
          <w:smallCaps w:val="0"/>
          <w:strike w:val="0"/>
          <w:sz w:val="22"/>
          <w:u w:val="single"/>
        </w:rPr>
        <w:t xml:space="preserve"> its use-based trademark applications </w:t>
      </w:r>
      <w:r>
        <w:rPr>
          <w:b/>
          <w:i w:val="0"/>
          <w:smallCaps w:val="0"/>
          <w:strike w:val="0"/>
          <w:sz w:val="24"/>
          <w:highlight w:val="cyan"/>
          <w:u w:val="single"/>
        </w:rPr>
        <w:t>was not a failure</w:t>
      </w:r>
      <w:r>
        <w:rPr>
          <w:b w:val="0"/>
          <w:i w:val="0"/>
          <w:smallCaps w:val="0"/>
          <w:strike w:val="0"/>
          <w:sz w:val="22"/>
          <w:highlight w:val="cyan"/>
          <w:u w:val="single"/>
        </w:rPr>
        <w:t xml:space="preserve"> to use the</w:t>
      </w:r>
      <w:r>
        <w:rPr>
          <w:b w:val="0"/>
          <w:i w:val="0"/>
          <w:smallCaps w:val="0"/>
          <w:strike w:val="0"/>
          <w:sz w:val="22"/>
          <w:u w:val="single"/>
        </w:rPr>
        <w:t xml:space="preserve"> registered </w:t>
      </w:r>
      <w:r>
        <w:rPr>
          <w:b w:val="0"/>
          <w:i w:val="0"/>
          <w:smallCaps w:val="0"/>
          <w:strike w:val="0"/>
          <w:sz w:val="22"/>
          <w:highlight w:val="cyan"/>
          <w:u w:val="single"/>
        </w:rPr>
        <w:t xml:space="preserve">mark </w:t>
      </w:r>
      <w:r>
        <w:rPr>
          <w:b/>
          <w:i w:val="0"/>
          <w:smallCaps w:val="0"/>
          <w:strike w:val="0"/>
          <w:sz w:val="24"/>
          <w:highlight w:val="cyan"/>
          <w:u w:val="single"/>
        </w:rPr>
        <w:t>in commerce</w:t>
      </w:r>
      <w:r>
        <w:rPr>
          <w:b w:val="0"/>
          <w:i w:val="0"/>
          <w:smallCaps w:val="0"/>
          <w:strike w:val="0"/>
          <w:sz w:val="22"/>
          <w:u w:val="single"/>
        </w:rPr>
        <w:t>.</w:t>
      </w:r>
      <w:r>
        <w:rPr>
          <w:b w:val="0"/>
          <w:i w:val="0"/>
          <w:smallCaps w:val="0"/>
          <w:strike w:val="0"/>
          <w:sz w:val="16"/>
          <w:u w:val="none"/>
        </w:rPr>
        <w:t xml:space="preserve"> </w:t>
      </w:r>
      <w:r>
        <w:rPr>
          <w:b/>
          <w:i w:val="0"/>
          <w:smallCaps w:val="0"/>
          <w:strike w:val="0"/>
          <w:sz w:val="24"/>
          <w:u w:val="single"/>
        </w:rPr>
        <w:t>Christian Faith Fellowship Church v. Adidas AG</w:t>
      </w:r>
      <w:r>
        <w:rPr>
          <w:b w:val="0"/>
          <w:i w:val="0"/>
          <w:smallCaps w:val="0"/>
          <w:strike w:val="0"/>
          <w:sz w:val="16"/>
          <w:u w:val="none"/>
        </w:rPr>
        <w:t xml:space="preserve">, Case No. 16-1296 (Fed. Cir., </w:t>
      </w:r>
      <w:r>
        <w:rPr>
          <w:b w:val="0"/>
          <w:i w:val="0"/>
          <w:smallCaps w:val="0"/>
          <w:strike w:val="0"/>
          <w:sz w:val="22"/>
          <w:u w:val="single"/>
        </w:rPr>
        <w:t>Nov. 14, 2016</w:t>
      </w:r>
      <w:r>
        <w:rPr>
          <w:b w:val="0"/>
          <w:i w:val="0"/>
          <w:smallCaps w:val="0"/>
          <w:strike w:val="0"/>
          <w:sz w:val="16"/>
          <w:u w:val="none"/>
        </w:rPr>
        <w:t>) (Stoll, J).</w:t>
      </w:r>
    </w:p>
    <w:p>
      <w:pPr>
        <w:spacing w:after="60"/>
      </w:pPr>
      <w:r>
        <w:rPr>
          <w:b w:val="0"/>
          <w:i w:val="0"/>
          <w:smallCaps w:val="0"/>
          <w:strike w:val="0"/>
          <w:sz w:val="22"/>
          <w:u w:val="single"/>
        </w:rPr>
        <w:t xml:space="preserve">In March 2005, </w:t>
      </w:r>
      <w:r>
        <w:rPr>
          <w:b w:val="0"/>
          <w:i w:val="0"/>
          <w:smallCaps w:val="0"/>
          <w:strike w:val="0"/>
          <w:sz w:val="16"/>
          <w:u w:val="none"/>
        </w:rPr>
        <w:t>Christian Faith Fellowship Church (</w:t>
      </w:r>
      <w:r>
        <w:rPr>
          <w:b/>
          <w:i w:val="0"/>
          <w:smallCaps w:val="0"/>
          <w:strike w:val="0"/>
          <w:sz w:val="24"/>
          <w:u w:val="single"/>
        </w:rPr>
        <w:t>CFFC</w:t>
      </w:r>
      <w:r>
        <w:rPr>
          <w:b w:val="0"/>
          <w:i w:val="0"/>
          <w:smallCaps w:val="0"/>
          <w:strike w:val="0"/>
          <w:sz w:val="16"/>
          <w:u w:val="none"/>
        </w:rPr>
        <w:t xml:space="preserve">) </w:t>
      </w:r>
      <w:r>
        <w:rPr>
          <w:b w:val="0"/>
          <w:i w:val="0"/>
          <w:smallCaps w:val="0"/>
          <w:strike w:val="0"/>
          <w:sz w:val="22"/>
          <w:u w:val="single"/>
        </w:rPr>
        <w:t>filed two use-based applications for the mark ADD A ZERO</w:t>
      </w:r>
      <w:r>
        <w:rPr>
          <w:b w:val="0"/>
          <w:i w:val="0"/>
          <w:smallCaps w:val="0"/>
          <w:strike w:val="0"/>
          <w:sz w:val="16"/>
          <w:u w:val="none"/>
        </w:rPr>
        <w:t xml:space="preserve"> (standard characters and stylized) </w:t>
      </w:r>
      <w:r>
        <w:rPr>
          <w:b w:val="0"/>
          <w:i w:val="0"/>
          <w:smallCaps w:val="0"/>
          <w:strike w:val="0"/>
          <w:sz w:val="22"/>
          <w:u w:val="single"/>
        </w:rPr>
        <w:t>for certain clothing items. Four years later, adidas AG (Adidas) sought to register the trademark ADIZERO for clothing. The US</w:t>
      </w:r>
      <w:r>
        <w:rPr>
          <w:b w:val="0"/>
          <w:i w:val="0"/>
          <w:smallCaps w:val="0"/>
          <w:strike w:val="0"/>
          <w:sz w:val="16"/>
          <w:u w:val="none"/>
        </w:rPr>
        <w:t xml:space="preserve"> </w:t>
      </w:r>
      <w:r>
        <w:rPr>
          <w:b/>
          <w:i w:val="0"/>
          <w:smallCaps w:val="0"/>
          <w:strike w:val="0"/>
          <w:sz w:val="24"/>
          <w:u w:val="single"/>
        </w:rPr>
        <w:t>P</w:t>
      </w:r>
      <w:r>
        <w:rPr>
          <w:b w:val="0"/>
          <w:i w:val="0"/>
          <w:smallCaps w:val="0"/>
          <w:strike w:val="0"/>
          <w:sz w:val="16"/>
          <w:u w:val="none"/>
        </w:rPr>
        <w:t xml:space="preserve">atent and </w:t>
      </w:r>
      <w:r>
        <w:rPr>
          <w:b/>
          <w:i w:val="0"/>
          <w:smallCaps w:val="0"/>
          <w:strike w:val="0"/>
          <w:sz w:val="24"/>
          <w:u w:val="single"/>
        </w:rPr>
        <w:t>T</w:t>
      </w:r>
      <w:r>
        <w:rPr>
          <w:b w:val="0"/>
          <w:i w:val="0"/>
          <w:smallCaps w:val="0"/>
          <w:strike w:val="0"/>
          <w:sz w:val="16"/>
          <w:u w:val="none"/>
        </w:rPr>
        <w:t xml:space="preserve">rademark </w:t>
      </w:r>
      <w:r>
        <w:rPr>
          <w:b/>
          <w:i w:val="0"/>
          <w:smallCaps w:val="0"/>
          <w:strike w:val="0"/>
          <w:sz w:val="24"/>
          <w:u w:val="single"/>
        </w:rPr>
        <w:t>O</w:t>
      </w:r>
      <w:r>
        <w:rPr>
          <w:b w:val="0"/>
          <w:i w:val="0"/>
          <w:smallCaps w:val="0"/>
          <w:strike w:val="0"/>
          <w:sz w:val="16"/>
          <w:u w:val="none"/>
        </w:rPr>
        <w:t xml:space="preserve">ffice </w:t>
      </w:r>
      <w:r>
        <w:rPr>
          <w:b w:val="0"/>
          <w:i w:val="0"/>
          <w:smallCaps w:val="0"/>
          <w:strike w:val="0"/>
          <w:sz w:val="22"/>
          <w:u w:val="single"/>
        </w:rPr>
        <w:t>refused to register Adidas’s mark because of a likelihood of confusion with CFFC’s registered marks. Adidas then petitioned the TTAB to cancel CFFC’s registrations on several grounds, including that CFFC’s de minimis use constituted a failure to use the trademarks in commerce before they were registered</w:t>
      </w:r>
      <w:r>
        <w:rPr>
          <w:b w:val="0"/>
          <w:i w:val="0"/>
          <w:smallCaps w:val="0"/>
          <w:strike w:val="0"/>
          <w:sz w:val="16"/>
          <w:u w:val="none"/>
        </w:rPr>
        <w:t>, and that CFFC had abandoned its trademarks through non-use.</w:t>
      </w:r>
    </w:p>
    <w:p>
      <w:pPr>
        <w:spacing w:after="60"/>
      </w:pPr>
      <w:r>
        <w:rPr>
          <w:b w:val="0"/>
          <w:i w:val="0"/>
          <w:smallCaps w:val="0"/>
          <w:strike w:val="0"/>
          <w:sz w:val="22"/>
          <w:u w:val="single"/>
        </w:rPr>
        <w:t>The TTAB granted Adidas’s petition, holding that CFFC’s use of the mark only twice in interstate commerce did not satisfy the use “in commerce” clause</w:t>
      </w:r>
      <w:r>
        <w:rPr>
          <w:b w:val="0"/>
          <w:i w:val="0"/>
          <w:smallCaps w:val="0"/>
          <w:strike w:val="0"/>
          <w:sz w:val="16"/>
          <w:u w:val="none"/>
        </w:rPr>
        <w:t xml:space="preserve"> under the Lanham Act. The Lanham Act defines “commerce” as “all commerce which may be lawfully regulated by Congress,” meaning all commerce subject to Congress’s power under the Commerce Clause. Congress’s Commerce Clause power, in turn, includes the power to regulate interstate commerce. The Supreme Court of the United States has broadly interpreted the Commerce Clause to include not only purely interstate transactions, but also transactions that have a substantial effect on interstate commerce. </w:t>
      </w:r>
      <w:r>
        <w:rPr>
          <w:b w:val="0"/>
          <w:i w:val="0"/>
          <w:smallCaps w:val="0"/>
          <w:strike w:val="0"/>
          <w:sz w:val="22"/>
          <w:u w:val="single"/>
        </w:rPr>
        <w:t>CFFC appealed.</w:t>
      </w:r>
    </w:p>
    <w:p>
      <w:pPr>
        <w:spacing w:after="60"/>
      </w:pPr>
      <w:r>
        <w:rPr>
          <w:b w:val="0"/>
          <w:i w:val="0"/>
          <w:smallCaps w:val="0"/>
          <w:strike w:val="0"/>
          <w:sz w:val="22"/>
          <w:u w:val="single"/>
        </w:rPr>
        <w:t xml:space="preserve">On appeal, the Federal </w:t>
      </w:r>
      <w:r>
        <w:rPr>
          <w:b w:val="0"/>
          <w:i w:val="0"/>
          <w:smallCaps w:val="0"/>
          <w:strike w:val="0"/>
          <w:sz w:val="22"/>
          <w:highlight w:val="cyan"/>
          <w:u w:val="single"/>
        </w:rPr>
        <w:t>Circuit found that the</w:t>
      </w:r>
      <w:r>
        <w:rPr>
          <w:b w:val="0"/>
          <w:i w:val="0"/>
          <w:smallCaps w:val="0"/>
          <w:strike w:val="0"/>
          <w:sz w:val="22"/>
          <w:u w:val="single"/>
        </w:rPr>
        <w:t xml:space="preserve"> </w:t>
      </w:r>
      <w:r>
        <w:rPr>
          <w:b/>
          <w:i w:val="0"/>
          <w:smallCaps w:val="0"/>
          <w:strike w:val="0"/>
          <w:sz w:val="24"/>
          <w:highlight w:val="cyan"/>
          <w:u w:val="single"/>
        </w:rPr>
        <w:t>single sale</w:t>
      </w:r>
      <w:r>
        <w:rPr>
          <w:b w:val="0"/>
          <w:i w:val="0"/>
          <w:smallCaps w:val="0"/>
          <w:strike w:val="0"/>
          <w:sz w:val="22"/>
          <w:u w:val="single"/>
        </w:rPr>
        <w:t xml:space="preserve"> in interstate commerce (a sale of two hats from CFFC’s Illinois store to a Wisconsin resident) </w:t>
      </w:r>
      <w:r>
        <w:rPr>
          <w:b w:val="0"/>
          <w:i w:val="0"/>
          <w:smallCaps w:val="0"/>
          <w:strike w:val="0"/>
          <w:sz w:val="22"/>
          <w:highlight w:val="cyan"/>
          <w:u w:val="single"/>
        </w:rPr>
        <w:t>constituted</w:t>
      </w:r>
      <w:r>
        <w:rPr>
          <w:b w:val="0"/>
          <w:i w:val="0"/>
          <w:smallCaps w:val="0"/>
          <w:strike w:val="0"/>
          <w:sz w:val="22"/>
          <w:u w:val="single"/>
        </w:rPr>
        <w:t xml:space="preserve"> </w:t>
      </w:r>
      <w:r>
        <w:rPr>
          <w:b/>
          <w:i w:val="0"/>
          <w:smallCaps w:val="0"/>
          <w:strike w:val="0"/>
          <w:sz w:val="24"/>
          <w:highlight w:val="cyan"/>
          <w:u w:val="single"/>
        </w:rPr>
        <w:t>sufficient use</w:t>
      </w:r>
      <w:r>
        <w:rPr>
          <w:b/>
          <w:i w:val="0"/>
          <w:smallCaps w:val="0"/>
          <w:strike w:val="0"/>
          <w:sz w:val="24"/>
          <w:u w:val="single"/>
        </w:rPr>
        <w:t xml:space="preserve"> “in commerce”</w:t>
      </w:r>
      <w:r>
        <w:rPr>
          <w:b w:val="0"/>
          <w:i w:val="0"/>
          <w:smallCaps w:val="0"/>
          <w:strike w:val="0"/>
          <w:sz w:val="22"/>
          <w:u w:val="single"/>
        </w:rPr>
        <w:t xml:space="preserve"> </w:t>
      </w:r>
      <w:r>
        <w:rPr>
          <w:b w:val="0"/>
          <w:i w:val="0"/>
          <w:smallCaps w:val="0"/>
          <w:strike w:val="0"/>
          <w:sz w:val="22"/>
          <w:highlight w:val="cyan"/>
          <w:u w:val="single"/>
        </w:rPr>
        <w:t>to support CFFC’s</w:t>
      </w:r>
      <w:r>
        <w:rPr>
          <w:b w:val="0"/>
          <w:i w:val="0"/>
          <w:smallCaps w:val="0"/>
          <w:strike w:val="0"/>
          <w:sz w:val="22"/>
          <w:u w:val="single"/>
        </w:rPr>
        <w:t xml:space="preserve"> use-based </w:t>
      </w:r>
      <w:r>
        <w:rPr>
          <w:b/>
          <w:i w:val="0"/>
          <w:smallCaps w:val="0"/>
          <w:strike w:val="0"/>
          <w:sz w:val="24"/>
          <w:highlight w:val="cyan"/>
          <w:u w:val="single"/>
        </w:rPr>
        <w:t>trademark applications</w:t>
      </w:r>
      <w:r>
        <w:rPr>
          <w:b w:val="0"/>
          <w:i w:val="0"/>
          <w:smallCaps w:val="0"/>
          <w:strike w:val="0"/>
          <w:sz w:val="22"/>
          <w:u w:val="single"/>
        </w:rPr>
        <w:t>.</w:t>
      </w:r>
      <w:r>
        <w:rPr>
          <w:b w:val="0"/>
          <w:i w:val="0"/>
          <w:smallCaps w:val="0"/>
          <w:strike w:val="0"/>
          <w:sz w:val="16"/>
          <w:u w:val="none"/>
        </w:rPr>
        <w:t xml:space="preserve"> The Court stressed that </w:t>
      </w:r>
      <w:r>
        <w:rPr>
          <w:b w:val="0"/>
          <w:i w:val="0"/>
          <w:smallCaps w:val="0"/>
          <w:strike w:val="0"/>
          <w:sz w:val="22"/>
          <w:u w:val="single"/>
        </w:rPr>
        <w:t xml:space="preserve">this “transaction . . . fell comfortably within the bounds of the [Commerce Clause] powers already sketched out by the Supreme Court.” The Court </w:t>
      </w:r>
      <w:r>
        <w:rPr>
          <w:b/>
          <w:i w:val="0"/>
          <w:smallCaps w:val="0"/>
          <w:strike w:val="0"/>
          <w:sz w:val="24"/>
          <w:highlight w:val="cyan"/>
          <w:u w:val="single"/>
        </w:rPr>
        <w:t>criticized</w:t>
      </w:r>
      <w:r>
        <w:rPr>
          <w:b w:val="0"/>
          <w:i w:val="0"/>
          <w:smallCaps w:val="0"/>
          <w:strike w:val="0"/>
          <w:sz w:val="22"/>
          <w:u w:val="single"/>
        </w:rPr>
        <w:t xml:space="preserve"> </w:t>
      </w:r>
      <w:r>
        <w:rPr>
          <w:b w:val="0"/>
          <w:i w:val="0"/>
          <w:smallCaps w:val="0"/>
          <w:strike w:val="0"/>
          <w:sz w:val="22"/>
          <w:highlight w:val="cyan"/>
          <w:u w:val="single"/>
        </w:rPr>
        <w:t>the</w:t>
      </w:r>
      <w:r>
        <w:rPr>
          <w:b w:val="0"/>
          <w:i w:val="0"/>
          <w:smallCaps w:val="0"/>
          <w:strike w:val="0"/>
          <w:sz w:val="22"/>
          <w:u w:val="single"/>
        </w:rPr>
        <w:t xml:space="preserve"> TTAB’s </w:t>
      </w:r>
      <w:r>
        <w:rPr>
          <w:b w:val="0"/>
          <w:i w:val="0"/>
          <w:smallCaps w:val="0"/>
          <w:strike w:val="0"/>
          <w:sz w:val="22"/>
          <w:highlight w:val="cyan"/>
          <w:u w:val="single"/>
        </w:rPr>
        <w:t xml:space="preserve">reasoning that the sale was </w:t>
      </w:r>
      <w:r>
        <w:rPr>
          <w:b/>
          <w:i w:val="0"/>
          <w:smallCaps w:val="0"/>
          <w:strike w:val="0"/>
          <w:sz w:val="24"/>
          <w:highlight w:val="cyan"/>
          <w:u w:val="single"/>
        </w:rPr>
        <w:t>de minimis</w:t>
      </w:r>
      <w:r>
        <w:rPr>
          <w:b w:val="0"/>
          <w:i w:val="0"/>
          <w:smallCaps w:val="0"/>
          <w:strike w:val="0"/>
          <w:sz w:val="22"/>
          <w:u w:val="single"/>
        </w:rPr>
        <w:t xml:space="preserve"> and not sufficient to prove use “in commerce</w:t>
      </w:r>
      <w:r>
        <w:rPr>
          <w:b w:val="0"/>
          <w:i w:val="0"/>
          <w:smallCaps w:val="0"/>
          <w:strike w:val="0"/>
          <w:sz w:val="22"/>
          <w:highlight w:val="cyan"/>
          <w:u w:val="single"/>
        </w:rPr>
        <w:t>,</w:t>
      </w:r>
      <w:r>
        <w:rPr>
          <w:b w:val="0"/>
          <w:i w:val="0"/>
          <w:smallCaps w:val="0"/>
          <w:strike w:val="0"/>
          <w:sz w:val="22"/>
          <w:u w:val="single"/>
        </w:rPr>
        <w:t xml:space="preserve">” stating that </w:t>
      </w:r>
      <w:r>
        <w:rPr>
          <w:b w:val="0"/>
          <w:i w:val="0"/>
          <w:smallCaps w:val="0"/>
          <w:strike w:val="0"/>
          <w:sz w:val="22"/>
          <w:highlight w:val="cyan"/>
          <w:u w:val="single"/>
        </w:rPr>
        <w:t>such a determination ran</w:t>
      </w:r>
      <w:r>
        <w:rPr>
          <w:b w:val="0"/>
          <w:i w:val="0"/>
          <w:smallCaps w:val="0"/>
          <w:strike w:val="0"/>
          <w:sz w:val="22"/>
          <w:u w:val="single"/>
        </w:rPr>
        <w:t xml:space="preserve"> </w:t>
      </w:r>
      <w:r>
        <w:rPr>
          <w:b/>
          <w:i w:val="0"/>
          <w:smallCaps w:val="0"/>
          <w:strike w:val="0"/>
          <w:sz w:val="24"/>
          <w:highlight w:val="cyan"/>
          <w:u w:val="single"/>
        </w:rPr>
        <w:t>counter</w:t>
      </w:r>
      <w:r>
        <w:rPr>
          <w:b w:val="0"/>
          <w:i w:val="0"/>
          <w:smallCaps w:val="0"/>
          <w:strike w:val="0"/>
          <w:sz w:val="22"/>
          <w:u w:val="single"/>
        </w:rPr>
        <w:t xml:space="preserve"> </w:t>
      </w:r>
      <w:r>
        <w:rPr>
          <w:b w:val="0"/>
          <w:i w:val="0"/>
          <w:smallCaps w:val="0"/>
          <w:strike w:val="0"/>
          <w:sz w:val="22"/>
          <w:highlight w:val="cyan"/>
          <w:u w:val="single"/>
        </w:rPr>
        <w:t>to the</w:t>
      </w:r>
      <w:r>
        <w:rPr>
          <w:b w:val="0"/>
          <w:i w:val="0"/>
          <w:smallCaps w:val="0"/>
          <w:strike w:val="0"/>
          <w:sz w:val="22"/>
          <w:u w:val="single"/>
        </w:rPr>
        <w:t xml:space="preserve"> Supreme </w:t>
      </w:r>
      <w:r>
        <w:rPr>
          <w:b w:val="0"/>
          <w:i w:val="0"/>
          <w:smallCaps w:val="0"/>
          <w:strike w:val="0"/>
          <w:sz w:val="22"/>
          <w:highlight w:val="cyan"/>
          <w:u w:val="single"/>
        </w:rPr>
        <w:t>Court’s prior</w:t>
      </w:r>
      <w:r>
        <w:rPr>
          <w:b w:val="0"/>
          <w:i w:val="0"/>
          <w:smallCaps w:val="0"/>
          <w:strike w:val="0"/>
          <w:sz w:val="22"/>
          <w:u w:val="single"/>
        </w:rPr>
        <w:t xml:space="preserve"> Commerce Clause </w:t>
      </w:r>
      <w:r>
        <w:rPr>
          <w:b w:val="0"/>
          <w:i w:val="0"/>
          <w:smallCaps w:val="0"/>
          <w:strike w:val="0"/>
          <w:sz w:val="22"/>
          <w:highlight w:val="cyan"/>
          <w:u w:val="single"/>
        </w:rPr>
        <w:t>decisions</w:t>
      </w:r>
      <w:r>
        <w:rPr>
          <w:b w:val="0"/>
          <w:i w:val="0"/>
          <w:smallCaps w:val="0"/>
          <w:strike w:val="0"/>
          <w:sz w:val="22"/>
          <w:u w:val="single"/>
        </w:rPr>
        <w:t xml:space="preserve">—namely, Gonzales v. Raich, which held that the “de minimis character of </w:t>
      </w:r>
      <w:r>
        <w:rPr>
          <w:b/>
          <w:i w:val="0"/>
          <w:smallCaps w:val="0"/>
          <w:strike w:val="0"/>
          <w:sz w:val="24"/>
          <w:u w:val="single"/>
        </w:rPr>
        <w:t>individual instances</w:t>
      </w:r>
      <w:r>
        <w:rPr>
          <w:b w:val="0"/>
          <w:i w:val="0"/>
          <w:smallCaps w:val="0"/>
          <w:strike w:val="0"/>
          <w:sz w:val="22"/>
          <w:u w:val="single"/>
        </w:rPr>
        <w:t xml:space="preserve">” subject to the Commerce Clause “is </w:t>
      </w:r>
      <w:r>
        <w:rPr>
          <w:b/>
          <w:i w:val="0"/>
          <w:smallCaps w:val="0"/>
          <w:strike w:val="0"/>
          <w:sz w:val="24"/>
          <w:u w:val="single"/>
        </w:rPr>
        <w:t>of no consequence</w:t>
      </w:r>
      <w:r>
        <w:rPr>
          <w:b w:val="0"/>
          <w:i w:val="0"/>
          <w:smallCaps w:val="0"/>
          <w:strike w:val="0"/>
          <w:sz w:val="22"/>
          <w:u w:val="single"/>
        </w:rPr>
        <w:t>.”</w:t>
      </w:r>
      <w:r>
        <w:rPr>
          <w:b w:val="0"/>
          <w:i w:val="0"/>
          <w:smallCaps w:val="0"/>
          <w:strike w:val="0"/>
          <w:sz w:val="16"/>
          <w:u w:val="none"/>
        </w:rPr>
        <w:t xml:space="preserve"> The Court made clear that </w:t>
      </w:r>
      <w:r>
        <w:rPr>
          <w:b w:val="0"/>
          <w:i w:val="0"/>
          <w:smallCaps w:val="0"/>
          <w:strike w:val="0"/>
          <w:sz w:val="22"/>
          <w:u w:val="single"/>
        </w:rPr>
        <w:t>its reasoning regarding the</w:t>
      </w:r>
      <w:r>
        <w:rPr>
          <w:b w:val="0"/>
          <w:i w:val="0"/>
          <w:smallCaps w:val="0"/>
          <w:strike w:val="0"/>
          <w:sz w:val="22"/>
          <w:u w:val="single"/>
        </w:rPr>
        <w:t xml:space="preserve"> </w:t>
      </w:r>
      <w:r>
        <w:rPr>
          <w:b w:val="0"/>
          <w:i w:val="0"/>
          <w:smallCaps w:val="0"/>
          <w:strike w:val="0"/>
          <w:sz w:val="22"/>
          <w:u w:val="single"/>
        </w:rPr>
        <w:t>in commerce</w:t>
      </w:r>
      <w:r>
        <w:rPr>
          <w:b w:val="0"/>
          <w:i w:val="0"/>
          <w:smallCaps w:val="0"/>
          <w:strike w:val="0"/>
          <w:sz w:val="22"/>
          <w:u w:val="single"/>
        </w:rPr>
        <w:t xml:space="preserve"> requirement applied equally to trademarks (for goods) and service marks. </w:t>
      </w:r>
      <w:r>
        <w:rPr>
          <w:b w:val="0"/>
          <w:i w:val="0"/>
          <w:smallCaps w:val="0"/>
          <w:strike w:val="0"/>
          <w:sz w:val="22"/>
          <w:highlight w:val="cyan"/>
          <w:u w:val="single"/>
        </w:rPr>
        <w:t>To the extent</w:t>
      </w:r>
      <w:r>
        <w:rPr>
          <w:b w:val="0"/>
          <w:i w:val="0"/>
          <w:smallCaps w:val="0"/>
          <w:strike w:val="0"/>
          <w:sz w:val="22"/>
          <w:u w:val="single"/>
        </w:rPr>
        <w:t xml:space="preserve"> that </w:t>
      </w:r>
      <w:r>
        <w:rPr>
          <w:b/>
          <w:i w:val="0"/>
          <w:smallCaps w:val="0"/>
          <w:strike w:val="0"/>
          <w:sz w:val="24"/>
          <w:highlight w:val="cyan"/>
          <w:u w:val="single"/>
        </w:rPr>
        <w:t>earlier decisions</w:t>
      </w:r>
      <w:r>
        <w:rPr>
          <w:b w:val="0"/>
          <w:i w:val="0"/>
          <w:smallCaps w:val="0"/>
          <w:strike w:val="0"/>
          <w:sz w:val="22"/>
          <w:u w:val="single"/>
        </w:rPr>
        <w:t xml:space="preserve"> of the TTAB held that the Lanham Act </w:t>
      </w:r>
      <w:r>
        <w:rPr>
          <w:b w:val="0"/>
          <w:i w:val="0"/>
          <w:smallCaps w:val="0"/>
          <w:strike w:val="0"/>
          <w:sz w:val="22"/>
          <w:highlight w:val="cyan"/>
          <w:u w:val="single"/>
        </w:rPr>
        <w:t>required</w:t>
      </w:r>
      <w:r>
        <w:rPr>
          <w:b w:val="0"/>
          <w:i w:val="0"/>
          <w:smallCaps w:val="0"/>
          <w:strike w:val="0"/>
          <w:sz w:val="22"/>
          <w:u w:val="single"/>
        </w:rPr>
        <w:t xml:space="preserve"> commercial </w:t>
      </w:r>
      <w:r>
        <w:rPr>
          <w:b w:val="0"/>
          <w:i w:val="0"/>
          <w:smallCaps w:val="0"/>
          <w:strike w:val="0"/>
          <w:sz w:val="22"/>
          <w:highlight w:val="cyan"/>
          <w:u w:val="single"/>
        </w:rPr>
        <w:t>activity beyond what was sufficient</w:t>
      </w:r>
      <w:r>
        <w:rPr>
          <w:b w:val="0"/>
          <w:i w:val="0"/>
          <w:smallCaps w:val="0"/>
          <w:strike w:val="0"/>
          <w:sz w:val="22"/>
          <w:u w:val="single"/>
        </w:rPr>
        <w:t xml:space="preserve"> to be subject to Congress’s Commerce Clause power</w:t>
      </w:r>
      <w:r>
        <w:rPr>
          <w:b w:val="0"/>
          <w:i w:val="0"/>
          <w:smallCaps w:val="0"/>
          <w:strike w:val="0"/>
          <w:sz w:val="22"/>
          <w:highlight w:val="cyan"/>
          <w:u w:val="single"/>
        </w:rPr>
        <w:t>,</w:t>
      </w:r>
      <w:r>
        <w:rPr>
          <w:b w:val="0"/>
          <w:i w:val="0"/>
          <w:smallCaps w:val="0"/>
          <w:strike w:val="0"/>
          <w:sz w:val="22"/>
          <w:u w:val="single"/>
        </w:rPr>
        <w:t xml:space="preserve"> the Court stated </w:t>
      </w:r>
      <w:r>
        <w:rPr>
          <w:b w:val="0"/>
          <w:i w:val="0"/>
          <w:smallCaps w:val="0"/>
          <w:strike w:val="0"/>
          <w:sz w:val="22"/>
          <w:highlight w:val="cyan"/>
          <w:u w:val="single"/>
        </w:rPr>
        <w:t>they were “</w:t>
      </w:r>
      <w:r>
        <w:rPr>
          <w:b/>
          <w:i w:val="0"/>
          <w:smallCaps w:val="0"/>
          <w:strike w:val="0"/>
          <w:sz w:val="24"/>
          <w:highlight w:val="cyan"/>
          <w:u w:val="single"/>
        </w:rPr>
        <w:t>incorrect</w:t>
      </w:r>
      <w:r>
        <w:rPr>
          <w:b w:val="0"/>
          <w:i w:val="0"/>
          <w:smallCaps w:val="0"/>
          <w:strike w:val="0"/>
          <w:sz w:val="22"/>
          <w:highlight w:val="cyan"/>
          <w:u w:val="single"/>
        </w:rPr>
        <w:t>.”</w:t>
      </w:r>
      <w:r>
        <w:rPr>
          <w:b w:val="0"/>
          <w:i w:val="0"/>
          <w:smallCaps w:val="0"/>
          <w:strike w:val="0"/>
          <w:sz w:val="16"/>
          <w:u w:val="none"/>
        </w:rPr>
        <w:t xml:space="preserve"> “[T]he definition of commerce in the Lanham Act means exactly what the statute says, i.e., ‘all commerce which may lawfully be regulated by Congress.’” </w:t>
      </w:r>
    </w:p>
    <w:p>
      <w:pPr>
        <w:spacing w:after="60"/>
      </w:pPr>
      <w:r>
        <w:rPr>
          <w:b w:val="0"/>
          <w:i w:val="0"/>
          <w:smallCaps w:val="0"/>
          <w:strike w:val="0"/>
          <w:sz w:val="16"/>
          <w:u w:val="none"/>
        </w:rPr>
        <w:t xml:space="preserve">The Federal Circuit thus reversed the TTAB’s cancellation of CFFC’s registrations and remanded the matter to the TTAB to address Adidas’s other grounds for cancellation—namely, whether CFFC had abandoned the trademark through non-use. </w:t>
      </w:r>
    </w:p>
    <w:p>
      <w:pPr>
        <w:spacing w:after="60"/>
      </w:pPr>
      <w:r>
        <w:rPr>
          <w:b w:val="0"/>
          <w:i w:val="0"/>
          <w:smallCaps w:val="0"/>
          <w:strike w:val="0"/>
          <w:sz w:val="16"/>
          <w:u w:val="none"/>
        </w:rPr>
        <w:t xml:space="preserve">Practice Note: </w:t>
      </w:r>
      <w:r>
        <w:rPr>
          <w:b w:val="0"/>
          <w:i w:val="0"/>
          <w:smallCaps w:val="0"/>
          <w:strike w:val="0"/>
          <w:sz w:val="22"/>
          <w:highlight w:val="cyan"/>
          <w:u w:val="single"/>
        </w:rPr>
        <w:t>This decision confirms</w:t>
      </w:r>
      <w:r>
        <w:rPr>
          <w:b w:val="0"/>
          <w:i w:val="0"/>
          <w:smallCaps w:val="0"/>
          <w:strike w:val="0"/>
          <w:sz w:val="22"/>
          <w:u w:val="single"/>
        </w:rPr>
        <w:t xml:space="preserve"> what many already believed: </w:t>
      </w:r>
      <w:r>
        <w:rPr>
          <w:b w:val="0"/>
          <w:i w:val="0"/>
          <w:smallCaps w:val="0"/>
          <w:strike w:val="0"/>
          <w:sz w:val="22"/>
          <w:highlight w:val="cyan"/>
          <w:u w:val="single"/>
        </w:rPr>
        <w:t xml:space="preserve">almost </w:t>
      </w:r>
      <w:r>
        <w:rPr>
          <w:b/>
          <w:i w:val="0"/>
          <w:smallCaps w:val="0"/>
          <w:strike w:val="0"/>
          <w:sz w:val="24"/>
          <w:highlight w:val="cyan"/>
          <w:u w:val="single"/>
        </w:rPr>
        <w:t>any bona fide transaction</w:t>
      </w:r>
      <w:r>
        <w:rPr>
          <w:b w:val="0"/>
          <w:i w:val="0"/>
          <w:smallCaps w:val="0"/>
          <w:strike w:val="0"/>
          <w:sz w:val="22"/>
          <w:highlight w:val="cyan"/>
          <w:u w:val="single"/>
        </w:rPr>
        <w:t xml:space="preserve"> will qualify as </w:t>
      </w:r>
      <w:r>
        <w:rPr>
          <w:b/>
          <w:i w:val="0"/>
          <w:smallCaps w:val="0"/>
          <w:strike w:val="0"/>
          <w:sz w:val="24"/>
          <w:highlight w:val="cyan"/>
          <w:u w:val="single"/>
        </w:rPr>
        <w:t>use in commerce</w:t>
      </w:r>
      <w:r>
        <w:rPr>
          <w:b w:val="0"/>
          <w:i w:val="0"/>
          <w:smallCaps w:val="0"/>
          <w:strike w:val="0"/>
          <w:sz w:val="22"/>
          <w:highlight w:val="cyan"/>
          <w:u w:val="single"/>
        </w:rPr>
        <w:t>.</w:t>
      </w:r>
      <w:r>
        <w:rPr>
          <w:b w:val="0"/>
          <w:i w:val="0"/>
          <w:smallCaps w:val="0"/>
          <w:strike w:val="0"/>
          <w:sz w:val="22"/>
          <w:u w:val="single"/>
        </w:rPr>
        <w:t xml:space="preserve"> </w:t>
      </w:r>
      <w:r>
        <w:rPr>
          <w:b w:val="0"/>
          <w:i w:val="0"/>
          <w:smallCaps w:val="0"/>
          <w:strike w:val="0"/>
          <w:sz w:val="16"/>
          <w:u w:val="none"/>
        </w:rPr>
        <w:t>Trademark</w:t>
      </w:r>
      <w:r>
        <w:rPr>
          <w:b w:val="0"/>
          <w:i w:val="0"/>
          <w:smallCaps w:val="0"/>
          <w:strike w:val="0"/>
          <w:sz w:val="16"/>
          <w:u w:val="none"/>
        </w:rPr>
        <w:t xml:space="preserve"> owners should keep records of the use that is the basis for their use-based trademark application in the event their registrations are challenged on this ground. Once a trademark registration is secured, trademark owners must be careful to not abandon their trademark by failing to continue to make bona fide use of their mark. </w:t>
      </w:r>
    </w:p>
    <w:p>
      <w:pPr>
        <w:pStyle w:val="Caption"/>
      </w:pPr>
      <w:r>
        <w:t>Source: Bona Fde Aff Updates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