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Intent-to-use applications </w:t>
      </w:r>
      <w:r>
        <w:rPr>
          <w:b/>
          <w:i w:val="0"/>
          <w:smallCaps w:val="0"/>
          <w:strike w:val="0"/>
          <w:sz w:val="26"/>
          <w:u w:val="single"/>
        </w:rPr>
        <w:t>spill up</w:t>
      </w:r>
      <w:r>
        <w:rPr>
          <w:b/>
          <w:i w:val="0"/>
          <w:smallCaps w:val="0"/>
          <w:strike w:val="0"/>
          <w:sz w:val="26"/>
          <w:u w:val="none"/>
        </w:rPr>
        <w:t xml:space="preserve"> to regular registration.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Simpson n.d.</w:t>
      </w:r>
      <w:r>
        <w:rPr>
          <w:b w:val="0"/>
          <w:i w:val="0"/>
          <w:smallCaps w:val="0"/>
          <w:strike w:val="0"/>
          <w:u w:val="none"/>
        </w:rPr>
        <w:t xml:space="preserve"> (Simpson &amp; Simpson, PLLC, a law firm that definitely knows its stuff about IPR; "Trademark FAQs", https://www.idealawyers.com/trademark-faqs, DOA: 7-19-2024)//ATJ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QUESTION: WHAT IS THE DIFFERENCE BETWEEN A CONVENTIONAL TRADEMARK APPLICATION AND AN INTENT-TO-USE (ITU) APPLICATION?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Answer: Prior to November 16, 1989, an applicant for federal registration of a trademark had to first use the mark in commerce. A so-called conventional trademark application is filed after the applicant has already used the trademark in commerce.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If the mark has not yet been used in commerce, the applicant can file an intent-to-use (ITU) application, as long as the applicant has a bona fide good faith intent to use the mark in commerce. ITU applications are examined in the </w:t>
      </w:r>
      <w:r>
        <w:rPr>
          <w:b/>
          <w:i w:val="0"/>
          <w:smallCaps w:val="0"/>
          <w:strike w:val="0"/>
          <w:sz w:val="24"/>
          <w:u w:val="single"/>
        </w:rPr>
        <w:t>same manner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conventional applications, i.e., the examining attorney does a search and examines the application to determine if the subject mark of the application is likely to cause confusion in view of previously registered marks, and also considers the </w:t>
      </w:r>
      <w:r>
        <w:rPr>
          <w:b/>
          <w:i w:val="0"/>
          <w:smallCaps w:val="0"/>
          <w:strike w:val="0"/>
          <w:sz w:val="24"/>
          <w:u w:val="single"/>
        </w:rPr>
        <w:t>other statutory requirements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registration.</w:t>
      </w:r>
      <w:r>
        <w:rPr>
          <w:b w:val="0"/>
          <w:i w:val="0"/>
          <w:smallCaps w:val="0"/>
          <w:strike w:val="0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before an ITU application can mature to registration, the applicant must </w:t>
      </w:r>
      <w:r>
        <w:rPr>
          <w:b/>
          <w:i w:val="0"/>
          <w:smallCaps w:val="0"/>
          <w:strike w:val="0"/>
          <w:sz w:val="24"/>
          <w:u w:val="single"/>
        </w:rPr>
        <w:t>use the mark in 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submit a statement with the USPTO attesting to such use.</w:t>
      </w:r>
      <w:r>
        <w:rPr>
          <w:b w:val="0"/>
          <w:i w:val="0"/>
          <w:smallCaps w:val="0"/>
          <w:strike w:val="0"/>
          <w:u w:val="none"/>
        </w:rPr>
        <w:t xml:space="preserve"> The USPTO charges a fee to receive this statement of use.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