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stats are </w:t>
      </w:r>
      <w:r>
        <w:rPr>
          <w:b/>
          <w:i w:val="0"/>
          <w:smallCaps w:val="0"/>
          <w:strike w:val="0"/>
          <w:sz w:val="26"/>
          <w:u w:val="single"/>
        </w:rPr>
        <w:t>diddled</w:t>
      </w:r>
      <w:r>
        <w:rPr>
          <w:b/>
          <w:i w:val="0"/>
          <w:smallCaps w:val="0"/>
          <w:strike w:val="0"/>
          <w:sz w:val="26"/>
          <w:u w:val="none"/>
        </w:rPr>
        <w:t xml:space="preserve"> with biases and </w:t>
      </w:r>
      <w:r>
        <w:rPr>
          <w:b/>
          <w:i w:val="0"/>
          <w:smallCaps w:val="0"/>
          <w:strike w:val="0"/>
          <w:sz w:val="26"/>
          <w:u w:val="single"/>
        </w:rPr>
        <w:t>not</w:t>
      </w:r>
      <w:r>
        <w:rPr>
          <w:b/>
          <w:i w:val="0"/>
          <w:smallCaps w:val="0"/>
          <w:strike w:val="0"/>
          <w:sz w:val="26"/>
          <w:u w:val="none"/>
        </w:rPr>
        <w:t xml:space="preserve"> applicable to the US. Their author.</w:t>
      </w:r>
    </w:p>
    <w:p>
      <w:pPr>
        <w:spacing w:after="80"/>
      </w:pPr>
      <w:r>
        <w:rPr>
          <w:b/>
          <w:i w:val="0"/>
          <w:smallCaps w:val="0"/>
          <w:strike w:val="0"/>
          <w:sz w:val="26"/>
          <w:u w:val="none"/>
        </w:rPr>
        <w:t>Hirschmann</w:t>
      </w:r>
      <w:r>
        <w:rPr>
          <w:b/>
          <w:i w:val="0"/>
          <w:smallCaps w:val="0"/>
          <w:strike w:val="0"/>
          <w:sz w:val="26"/>
          <w:u w:val="none"/>
        </w:rPr>
        <w:t xml:space="preserve"> &amp; Block 22</w:t>
      </w:r>
      <w:r>
        <w:rPr>
          <w:b w:val="0"/>
          <w:i w:val="0"/>
          <w:smallCaps w:val="0"/>
          <w:strike w:val="0"/>
          <w:u w:val="none"/>
        </w:rPr>
        <w:t xml:space="preserve"> </w:t>
      </w:r>
      <w:r>
        <w:rPr>
          <w:b w:val="0"/>
          <w:i w:val="0"/>
          <w:smallCaps w:val="0"/>
          <w:strike w:val="0"/>
          <w:sz w:val="16"/>
          <w:u w:val="none"/>
        </w:rPr>
        <w:t xml:space="preserve">– Mirko </w:t>
      </w:r>
      <w:r>
        <w:rPr>
          <w:b w:val="0"/>
          <w:i w:val="0"/>
          <w:smallCaps w:val="0"/>
          <w:strike w:val="0"/>
          <w:sz w:val="16"/>
          <w:u w:val="none"/>
        </w:rPr>
        <w:t>Hirschmann</w:t>
      </w:r>
      <w:r>
        <w:rPr>
          <w:b w:val="0"/>
          <w:i w:val="0"/>
          <w:smallCaps w:val="0"/>
          <w:strike w:val="0"/>
          <w:sz w:val="16"/>
          <w:u w:val="none"/>
        </w:rPr>
        <w:t xml:space="preserve"> &amp; </w:t>
      </w:r>
      <w:r>
        <w:rPr>
          <w:b w:val="0"/>
          <w:i w:val="0"/>
          <w:smallCaps w:val="0"/>
          <w:strike w:val="0"/>
          <w:sz w:val="16"/>
          <w:u w:val="none"/>
        </w:rPr>
        <w:t>Joern</w:t>
      </w:r>
      <w:r>
        <w:rPr>
          <w:b w:val="0"/>
          <w:i w:val="0"/>
          <w:smallCaps w:val="0"/>
          <w:strike w:val="0"/>
          <w:sz w:val="16"/>
          <w:u w:val="none"/>
        </w:rPr>
        <w:t xml:space="preserve"> Block (Dr. Mirko </w:t>
      </w:r>
      <w:r>
        <w:rPr>
          <w:b w:val="0"/>
          <w:i w:val="0"/>
          <w:smallCaps w:val="0"/>
          <w:strike w:val="0"/>
          <w:sz w:val="16"/>
          <w:u w:val="none"/>
        </w:rPr>
        <w:t>Hirschmann</w:t>
      </w:r>
      <w:r>
        <w:rPr>
          <w:b w:val="0"/>
          <w:i w:val="0"/>
          <w:smallCaps w:val="0"/>
          <w:strike w:val="0"/>
          <w:sz w:val="16"/>
          <w:u w:val="none"/>
        </w:rPr>
        <w:t xml:space="preserve"> – Research Associate at EINT, </w:t>
      </w:r>
      <w:r>
        <w:rPr>
          <w:b w:val="0"/>
          <w:i w:val="0"/>
          <w:smallCaps w:val="0"/>
          <w:strike w:val="0"/>
          <w:sz w:val="16"/>
          <w:u w:val="none"/>
        </w:rPr>
        <w:t>Ph.D</w:t>
      </w:r>
      <w:r>
        <w:rPr>
          <w:b w:val="0"/>
          <w:i w:val="0"/>
          <w:smallCaps w:val="0"/>
          <w:strike w:val="0"/>
          <w:sz w:val="16"/>
          <w:u w:val="none"/>
        </w:rPr>
        <w:t xml:space="preserve"> in Business Administration from Trier University, specializes in social innovation, intellectual property rights and hybrid growth of new ventures; Dr. </w:t>
      </w:r>
      <w:r>
        <w:rPr>
          <w:b w:val="0"/>
          <w:i w:val="0"/>
          <w:smallCaps w:val="0"/>
          <w:strike w:val="0"/>
          <w:sz w:val="16"/>
          <w:u w:val="none"/>
        </w:rPr>
        <w:t>Joern</w:t>
      </w:r>
      <w:r>
        <w:rPr>
          <w:b w:val="0"/>
          <w:i w:val="0"/>
          <w:smallCaps w:val="0"/>
          <w:strike w:val="0"/>
          <w:sz w:val="16"/>
          <w:u w:val="none"/>
        </w:rPr>
        <w:t xml:space="preserve"> Block – Professor in Management at Trier University, </w:t>
      </w:r>
      <w:r>
        <w:rPr>
          <w:b w:val="0"/>
          <w:i w:val="0"/>
          <w:smallCaps w:val="0"/>
          <w:strike w:val="0"/>
          <w:sz w:val="16"/>
          <w:u w:val="none"/>
        </w:rPr>
        <w:t>Ph.D</w:t>
      </w:r>
      <w:r>
        <w:rPr>
          <w:b w:val="0"/>
          <w:i w:val="0"/>
          <w:smallCaps w:val="0"/>
          <w:strike w:val="0"/>
          <w:sz w:val="16"/>
          <w:u w:val="none"/>
        </w:rPr>
        <w:t xml:space="preserve"> in Applied Economics from Trier University, specializes in entrepreneurship and innovation management), 11-20-2023, "Trademarks and how they relate to the sustainability and economic outcomes of social startups " Journal of Cleaner Production, https://pure.eur.nl/ws/portalfiles/portal/94101879/1_s2.0_S0959652622038926_main.pdf </w:t>
      </w:r>
      <w:r>
        <w:rPr>
          <w:b w:val="0"/>
          <w:i w:val="0"/>
          <w:smallCaps w:val="0"/>
          <w:strike w:val="0"/>
          <w:sz w:val="16"/>
          <w:u w:val="none"/>
        </w:rPr>
        <w:t>//ATJ</w:t>
      </w:r>
    </w:p>
    <w:p>
      <w:pPr>
        <w:spacing w:after="60"/>
      </w:pPr>
      <w:r>
        <w:rPr>
          <w:b w:val="0"/>
          <w:i w:val="0"/>
          <w:smallCaps w:val="0"/>
          <w:strike w:val="0"/>
          <w:sz w:val="22"/>
          <w:highlight w:val="cyan"/>
          <w:u w:val="single"/>
        </w:rPr>
        <w:t xml:space="preserve">Our study has </w:t>
      </w:r>
      <w:r>
        <w:rPr>
          <w:b/>
          <w:i w:val="0"/>
          <w:smallCaps w:val="0"/>
          <w:strike w:val="0"/>
          <w:sz w:val="24"/>
          <w:highlight w:val="cyan"/>
          <w:u w:val="single"/>
        </w:rPr>
        <w:t>several limitations</w:t>
      </w:r>
      <w:r>
        <w:rPr>
          <w:b w:val="0"/>
          <w:i w:val="0"/>
          <w:smallCaps w:val="0"/>
          <w:strike w:val="0"/>
          <w:sz w:val="16"/>
          <w:u w:val="none"/>
        </w:rPr>
        <w:t xml:space="preserve"> that open up room for future research. First, </w:t>
      </w:r>
      <w:r>
        <w:rPr>
          <w:b w:val="0"/>
          <w:i w:val="0"/>
          <w:smallCaps w:val="0"/>
          <w:strike w:val="0"/>
          <w:sz w:val="22"/>
          <w:u w:val="single"/>
        </w:rPr>
        <w:t xml:space="preserve">we have a </w:t>
      </w:r>
      <w:r>
        <w:rPr>
          <w:b/>
          <w:i w:val="0"/>
          <w:smallCaps w:val="0"/>
          <w:strike w:val="0"/>
          <w:sz w:val="24"/>
          <w:highlight w:val="cyan"/>
          <w:u w:val="single"/>
        </w:rPr>
        <w:t>survivorship bias</w:t>
      </w:r>
      <w:r>
        <w:rPr>
          <w:b w:val="0"/>
          <w:i w:val="0"/>
          <w:smallCaps w:val="0"/>
          <w:strike w:val="0"/>
          <w:sz w:val="22"/>
          <w:u w:val="single"/>
        </w:rPr>
        <w:t xml:space="preserve"> in our data </w:t>
      </w:r>
      <w:r>
        <w:rPr>
          <w:b w:val="0"/>
          <w:i w:val="0"/>
          <w:smallCaps w:val="0"/>
          <w:strike w:val="0"/>
          <w:sz w:val="22"/>
          <w:highlight w:val="cyan"/>
          <w:u w:val="single"/>
        </w:rPr>
        <w:t>since we are not able to identify</w:t>
      </w:r>
      <w:r>
        <w:rPr>
          <w:b w:val="0"/>
          <w:i w:val="0"/>
          <w:smallCaps w:val="0"/>
          <w:strike w:val="0"/>
          <w:sz w:val="22"/>
          <w:u w:val="single"/>
        </w:rPr>
        <w:t xml:space="preserve"> those social </w:t>
      </w:r>
      <w:r>
        <w:rPr>
          <w:b w:val="0"/>
          <w:i w:val="0"/>
          <w:smallCaps w:val="0"/>
          <w:strike w:val="0"/>
          <w:sz w:val="22"/>
          <w:highlight w:val="cyan"/>
          <w:u w:val="single"/>
        </w:rPr>
        <w:t xml:space="preserve">startups that </w:t>
      </w:r>
      <w:r>
        <w:rPr>
          <w:b/>
          <w:i w:val="0"/>
          <w:smallCaps w:val="0"/>
          <w:strike w:val="0"/>
          <w:sz w:val="24"/>
          <w:highlight w:val="cyan"/>
          <w:u w:val="single"/>
        </w:rPr>
        <w:t>failed</w:t>
      </w:r>
      <w:r>
        <w:rPr>
          <w:b w:val="0"/>
          <w:i w:val="0"/>
          <w:smallCaps w:val="0"/>
          <w:strike w:val="0"/>
          <w:sz w:val="22"/>
          <w:u w:val="single"/>
        </w:rPr>
        <w:t xml:space="preserve"> </w:t>
      </w:r>
      <w:r>
        <w:rPr>
          <w:b w:val="0"/>
          <w:i w:val="0"/>
          <w:smallCaps w:val="0"/>
          <w:strike w:val="0"/>
          <w:sz w:val="22"/>
          <w:highlight w:val="cyan"/>
          <w:u w:val="single"/>
        </w:rPr>
        <w:t>during</w:t>
      </w:r>
      <w:r>
        <w:rPr>
          <w:b w:val="0"/>
          <w:i w:val="0"/>
          <w:smallCaps w:val="0"/>
          <w:strike w:val="0"/>
          <w:sz w:val="22"/>
          <w:u w:val="single"/>
        </w:rPr>
        <w:t xml:space="preserve"> our </w:t>
      </w:r>
      <w:r>
        <w:rPr>
          <w:b w:val="0"/>
          <w:i w:val="0"/>
          <w:smallCaps w:val="0"/>
          <w:strike w:val="0"/>
          <w:sz w:val="22"/>
          <w:highlight w:val="cyan"/>
          <w:u w:val="single"/>
        </w:rPr>
        <w:t>observation</w:t>
      </w:r>
      <w:r>
        <w:rPr>
          <w:b w:val="0"/>
          <w:i w:val="0"/>
          <w:smallCaps w:val="0"/>
          <w:strike w:val="0"/>
          <w:sz w:val="22"/>
          <w:u w:val="single"/>
        </w:rPr>
        <w:t xml:space="preserve"> time. </w:t>
      </w:r>
      <w:r>
        <w:rPr>
          <w:b w:val="0"/>
          <w:i w:val="0"/>
          <w:smallCaps w:val="0"/>
          <w:strike w:val="0"/>
          <w:sz w:val="16"/>
          <w:u w:val="none"/>
        </w:rPr>
        <w:t xml:space="preserve">Further studies could therefore expand the literature on social startup survival and examine whether social startup trademarking also reduces the likelihood of failure. Second, </w:t>
      </w:r>
      <w:r>
        <w:rPr>
          <w:b w:val="0"/>
          <w:i w:val="0"/>
          <w:smallCaps w:val="0"/>
          <w:strike w:val="0"/>
          <w:sz w:val="22"/>
          <w:u w:val="single"/>
        </w:rPr>
        <w:t xml:space="preserve">our results might suffer from </w:t>
      </w:r>
      <w:r>
        <w:rPr>
          <w:b/>
          <w:i w:val="0"/>
          <w:smallCaps w:val="0"/>
          <w:strike w:val="0"/>
          <w:sz w:val="24"/>
          <w:highlight w:val="cyan"/>
          <w:u w:val="single"/>
        </w:rPr>
        <w:t>omitted variable bias</w:t>
      </w:r>
      <w:r>
        <w:rPr>
          <w:b w:val="0"/>
          <w:i w:val="0"/>
          <w:smallCaps w:val="0"/>
          <w:strike w:val="0"/>
          <w:sz w:val="22"/>
          <w:highlight w:val="cyan"/>
          <w:u w:val="single"/>
        </w:rPr>
        <w:t>.</w:t>
      </w:r>
      <w:r>
        <w:rPr>
          <w:b w:val="0"/>
          <w:i w:val="0"/>
          <w:smallCaps w:val="0"/>
          <w:strike w:val="0"/>
          <w:sz w:val="16"/>
          <w:u w:val="none"/>
        </w:rPr>
        <w:t xml:space="preserve"> Since prior research shows that </w:t>
      </w:r>
      <w:r>
        <w:rPr>
          <w:b w:val="0"/>
          <w:i w:val="0"/>
          <w:smallCaps w:val="0"/>
          <w:strike w:val="0"/>
          <w:sz w:val="22"/>
          <w:u w:val="single"/>
        </w:rPr>
        <w:t xml:space="preserve">social </w:t>
      </w:r>
      <w:r>
        <w:rPr>
          <w:b w:val="0"/>
          <w:i w:val="0"/>
          <w:smallCaps w:val="0"/>
          <w:strike w:val="0"/>
          <w:sz w:val="22"/>
          <w:highlight w:val="cyan"/>
          <w:u w:val="single"/>
        </w:rPr>
        <w:t>startups that receive</w:t>
      </w:r>
      <w:r>
        <w:rPr>
          <w:b w:val="0"/>
          <w:i w:val="0"/>
          <w:smallCaps w:val="0"/>
          <w:strike w:val="0"/>
          <w:sz w:val="22"/>
          <w:u w:val="single"/>
        </w:rPr>
        <w:t xml:space="preserve"> </w:t>
      </w:r>
      <w:r>
        <w:rPr>
          <w:b/>
          <w:i w:val="0"/>
          <w:smallCaps w:val="0"/>
          <w:strike w:val="0"/>
          <w:sz w:val="24"/>
          <w:highlight w:val="cyan"/>
          <w:u w:val="single"/>
        </w:rPr>
        <w:t>early external funding</w:t>
      </w:r>
      <w:r>
        <w:rPr>
          <w:b w:val="0"/>
          <w:i w:val="0"/>
          <w:smallCaps w:val="0"/>
          <w:strike w:val="0"/>
          <w:sz w:val="22"/>
          <w:u w:val="single"/>
        </w:rPr>
        <w:t xml:space="preserve"> </w:t>
      </w:r>
      <w:r>
        <w:rPr>
          <w:b w:val="0"/>
          <w:i w:val="0"/>
          <w:smallCaps w:val="0"/>
          <w:strike w:val="0"/>
          <w:sz w:val="22"/>
          <w:highlight w:val="cyan"/>
          <w:u w:val="single"/>
        </w:rPr>
        <w:t>have higher</w:t>
      </w:r>
      <w:r>
        <w:rPr>
          <w:b w:val="0"/>
          <w:i w:val="0"/>
          <w:smallCaps w:val="0"/>
          <w:strike w:val="0"/>
          <w:sz w:val="22"/>
          <w:u w:val="single"/>
        </w:rPr>
        <w:t xml:space="preserve"> employment </w:t>
      </w:r>
      <w:r>
        <w:rPr>
          <w:b w:val="0"/>
          <w:i w:val="0"/>
          <w:smallCaps w:val="0"/>
          <w:strike w:val="0"/>
          <w:sz w:val="22"/>
          <w:highlight w:val="cyan"/>
          <w:u w:val="single"/>
        </w:rPr>
        <w:t>growth</w:t>
      </w:r>
      <w:r>
        <w:rPr>
          <w:b w:val="0"/>
          <w:i w:val="0"/>
          <w:smallCaps w:val="0"/>
          <w:strike w:val="0"/>
          <w:sz w:val="22"/>
          <w:u w:val="single"/>
        </w:rPr>
        <w:t xml:space="preserve"> rates</w:t>
      </w:r>
      <w:r>
        <w:rPr>
          <w:b w:val="0"/>
          <w:i w:val="0"/>
          <w:smallCaps w:val="0"/>
          <w:strike w:val="0"/>
          <w:sz w:val="16"/>
          <w:u w:val="none"/>
        </w:rPr>
        <w:t xml:space="preserve"> and greater economic performance (e.g., </w:t>
      </w:r>
      <w:r>
        <w:rPr>
          <w:b w:val="0"/>
          <w:i w:val="0"/>
          <w:smallCaps w:val="0"/>
          <w:strike w:val="0"/>
          <w:sz w:val="16"/>
          <w:u w:val="none"/>
        </w:rPr>
        <w:t>Cacciolatti</w:t>
      </w:r>
      <w:r>
        <w:rPr>
          <w:b w:val="0"/>
          <w:i w:val="0"/>
          <w:smallCaps w:val="0"/>
          <w:strike w:val="0"/>
          <w:sz w:val="16"/>
          <w:u w:val="none"/>
        </w:rPr>
        <w:t xml:space="preserve"> et al., 2020; Rey-Martí et al., 2016), </w:t>
      </w:r>
      <w:r>
        <w:rPr>
          <w:b w:val="0"/>
          <w:i w:val="0"/>
          <w:smallCaps w:val="0"/>
          <w:strike w:val="0"/>
          <w:sz w:val="22"/>
          <w:u w:val="single"/>
        </w:rPr>
        <w:t xml:space="preserve">this </w:t>
      </w:r>
      <w:r>
        <w:rPr>
          <w:b w:val="0"/>
          <w:i w:val="0"/>
          <w:smallCaps w:val="0"/>
          <w:strike w:val="0"/>
          <w:sz w:val="22"/>
          <w:highlight w:val="cyan"/>
          <w:u w:val="single"/>
        </w:rPr>
        <w:t>might</w:t>
      </w:r>
      <w:r>
        <w:rPr>
          <w:b w:val="0"/>
          <w:i w:val="0"/>
          <w:smallCaps w:val="0"/>
          <w:strike w:val="0"/>
          <w:sz w:val="22"/>
          <w:u w:val="single"/>
        </w:rPr>
        <w:t xml:space="preserve"> be a variable to </w:t>
      </w:r>
      <w:r>
        <w:rPr>
          <w:b w:val="0"/>
          <w:i w:val="0"/>
          <w:smallCaps w:val="0"/>
          <w:strike w:val="0"/>
          <w:sz w:val="22"/>
          <w:highlight w:val="cyan"/>
          <w:u w:val="single"/>
        </w:rPr>
        <w:t>explain</w:t>
      </w:r>
      <w:r>
        <w:rPr>
          <w:b w:val="0"/>
          <w:i w:val="0"/>
          <w:smallCaps w:val="0"/>
          <w:strike w:val="0"/>
          <w:sz w:val="22"/>
          <w:u w:val="single"/>
        </w:rPr>
        <w:t xml:space="preserve"> some of our </w:t>
      </w:r>
      <w:r>
        <w:rPr>
          <w:b/>
          <w:i w:val="0"/>
          <w:smallCaps w:val="0"/>
          <w:strike w:val="0"/>
          <w:sz w:val="24"/>
          <w:highlight w:val="cyan"/>
          <w:u w:val="single"/>
        </w:rPr>
        <w:t>trademark effects</w:t>
      </w:r>
      <w:r>
        <w:rPr>
          <w:b w:val="0"/>
          <w:i w:val="0"/>
          <w:smallCaps w:val="0"/>
          <w:strike w:val="0"/>
          <w:sz w:val="22"/>
          <w:u w:val="single"/>
        </w:rPr>
        <w:t xml:space="preserve">. </w:t>
      </w:r>
      <w:r>
        <w:rPr>
          <w:b w:val="0"/>
          <w:i w:val="0"/>
          <w:smallCaps w:val="0"/>
          <w:strike w:val="0"/>
          <w:sz w:val="16"/>
          <w:u w:val="none"/>
        </w:rPr>
        <w:t xml:space="preserve">For example, it could be the case that trademarking increases the likelihood of external funding, which then increases employment growth rates. Therefore, we encourage future research to investigate this mediation relationship since </w:t>
      </w:r>
      <w:r>
        <w:rPr>
          <w:b w:val="0"/>
          <w:i w:val="0"/>
          <w:smallCaps w:val="0"/>
          <w:strike w:val="0"/>
          <w:sz w:val="22"/>
          <w:u w:val="single"/>
        </w:rPr>
        <w:t xml:space="preserve">we were not able to collect funding rounds of social startups within their </w:t>
      </w:r>
      <w:r>
        <w:rPr>
          <w:b/>
          <w:i w:val="0"/>
          <w:smallCaps w:val="0"/>
          <w:strike w:val="0"/>
          <w:sz w:val="24"/>
          <w:u w:val="single"/>
        </w:rPr>
        <w:t>first three years</w:t>
      </w:r>
      <w:r>
        <w:rPr>
          <w:b w:val="0"/>
          <w:i w:val="0"/>
          <w:smallCaps w:val="0"/>
          <w:strike w:val="0"/>
          <w:sz w:val="22"/>
          <w:u w:val="single"/>
        </w:rPr>
        <w:t xml:space="preserve"> of existence.</w:t>
      </w:r>
      <w:r>
        <w:rPr>
          <w:b w:val="0"/>
          <w:i w:val="0"/>
          <w:smallCaps w:val="0"/>
          <w:strike w:val="0"/>
          <w:sz w:val="16"/>
          <w:u w:val="none"/>
        </w:rPr>
        <w:t xml:space="preserve"> Furthermore, future studies could use further proxies for the economic and sustainability outcomes of social startups. While the number of created jobs is an established growth parameter (e.g., Henderson, 2002; Lall and Park, 2020), research thus far lacks quantitative evidence on the sustainability outcomes of social startups. Since our proxy of sustainability outcomes of a social startup is an indirect measure, we encourage further research to replicate our findings based on a more direct measure of sustainability outcomes (e.g., using a survey approach). Such a study would allow a more detailed distinction between different SDGs and their achievements. From the perspective of trademark research, such a study would help to clarify the underlying mechanisms of the relationship between IPRs and SDGs. Third, </w:t>
      </w:r>
      <w:r>
        <w:rPr>
          <w:b w:val="0"/>
          <w:i w:val="0"/>
          <w:smallCaps w:val="0"/>
          <w:strike w:val="0"/>
          <w:sz w:val="22"/>
          <w:highlight w:val="cyan"/>
          <w:u w:val="single"/>
        </w:rPr>
        <w:t>our findings relate to</w:t>
      </w:r>
      <w:r>
        <w:rPr>
          <w:b w:val="0"/>
          <w:i w:val="0"/>
          <w:smallCaps w:val="0"/>
          <w:strike w:val="0"/>
          <w:sz w:val="22"/>
          <w:u w:val="single"/>
        </w:rPr>
        <w:t xml:space="preserve"> </w:t>
      </w:r>
      <w:r>
        <w:rPr>
          <w:b/>
          <w:i w:val="0"/>
          <w:smallCaps w:val="0"/>
          <w:strike w:val="0"/>
          <w:sz w:val="24"/>
          <w:highlight w:val="cyan"/>
          <w:u w:val="single"/>
        </w:rPr>
        <w:t>German</w:t>
      </w:r>
      <w:r>
        <w:rPr>
          <w:b w:val="0"/>
          <w:i w:val="0"/>
          <w:smallCaps w:val="0"/>
          <w:strike w:val="0"/>
          <w:sz w:val="22"/>
          <w:u w:val="single"/>
        </w:rPr>
        <w:t xml:space="preserve"> social </w:t>
      </w:r>
      <w:r>
        <w:rPr>
          <w:b w:val="0"/>
          <w:i w:val="0"/>
          <w:smallCaps w:val="0"/>
          <w:strike w:val="0"/>
          <w:sz w:val="22"/>
          <w:highlight w:val="cyan"/>
          <w:u w:val="single"/>
        </w:rPr>
        <w:t>startups, which reduces</w:t>
      </w:r>
      <w:r>
        <w:rPr>
          <w:b w:val="0"/>
          <w:i w:val="0"/>
          <w:smallCaps w:val="0"/>
          <w:strike w:val="0"/>
          <w:sz w:val="22"/>
          <w:u w:val="single"/>
        </w:rPr>
        <w:t xml:space="preserve"> the</w:t>
      </w:r>
      <w:r>
        <w:rPr>
          <w:b w:val="0"/>
          <w:i w:val="0"/>
          <w:smallCaps w:val="0"/>
          <w:strike w:val="0"/>
          <w:sz w:val="22"/>
          <w:u w:val="single"/>
        </w:rPr>
        <w:t xml:space="preserve"> </w:t>
      </w:r>
      <w:r>
        <w:rPr>
          <w:b/>
          <w:i w:val="0"/>
          <w:smallCaps w:val="0"/>
          <w:strike w:val="0"/>
          <w:sz w:val="24"/>
          <w:highlight w:val="cyan"/>
          <w:u w:val="single"/>
        </w:rPr>
        <w:t>generalizability</w:t>
      </w:r>
      <w:r>
        <w:rPr>
          <w:b w:val="0"/>
          <w:i w:val="0"/>
          <w:smallCaps w:val="0"/>
          <w:strike w:val="0"/>
          <w:sz w:val="22"/>
          <w:u w:val="single"/>
        </w:rPr>
        <w:t xml:space="preserve"> of our findings </w:t>
      </w:r>
      <w:r>
        <w:rPr>
          <w:b w:val="0"/>
          <w:i w:val="0"/>
          <w:smallCaps w:val="0"/>
          <w:strike w:val="0"/>
          <w:sz w:val="22"/>
          <w:highlight w:val="cyan"/>
          <w:u w:val="single"/>
        </w:rPr>
        <w:t>since</w:t>
      </w:r>
      <w:r>
        <w:rPr>
          <w:b w:val="0"/>
          <w:i w:val="0"/>
          <w:smallCaps w:val="0"/>
          <w:strike w:val="0"/>
          <w:sz w:val="16"/>
          <w:u w:val="none"/>
        </w:rPr>
        <w:t xml:space="preserve"> sustainable </w:t>
      </w:r>
      <w:r>
        <w:rPr>
          <w:b w:val="0"/>
          <w:i w:val="0"/>
          <w:smallCaps w:val="0"/>
          <w:strike w:val="0"/>
          <w:sz w:val="22"/>
          <w:highlight w:val="cyan"/>
          <w:u w:val="single"/>
        </w:rPr>
        <w:t>entrepreneurship</w:t>
      </w:r>
      <w:r>
        <w:rPr>
          <w:b w:val="0"/>
          <w:i w:val="0"/>
          <w:smallCaps w:val="0"/>
          <w:strike w:val="0"/>
          <w:sz w:val="22"/>
          <w:u w:val="single"/>
        </w:rPr>
        <w:t xml:space="preserve"> has been proven to </w:t>
      </w:r>
      <w:r>
        <w:rPr>
          <w:b/>
          <w:i w:val="0"/>
          <w:smallCaps w:val="0"/>
          <w:strike w:val="0"/>
          <w:sz w:val="24"/>
          <w:highlight w:val="cyan"/>
          <w:u w:val="single"/>
        </w:rPr>
        <w:t>differ geographically</w:t>
      </w:r>
      <w:r>
        <w:rPr>
          <w:b/>
          <w:i w:val="0"/>
          <w:smallCaps w:val="0"/>
          <w:strike w:val="0"/>
          <w:sz w:val="24"/>
          <w:u w:val="single"/>
        </w:rPr>
        <w:t xml:space="preserve"> </w:t>
      </w:r>
      <w:r>
        <w:rPr>
          <w:b w:val="0"/>
          <w:i w:val="0"/>
          <w:smallCaps w:val="0"/>
          <w:strike w:val="0"/>
          <w:sz w:val="16"/>
          <w:u w:val="none"/>
        </w:rPr>
        <w:t xml:space="preserve">(e.g., </w:t>
      </w:r>
      <w:r>
        <w:rPr>
          <w:b w:val="0"/>
          <w:i w:val="0"/>
          <w:smallCaps w:val="0"/>
          <w:strike w:val="0"/>
          <w:sz w:val="16"/>
          <w:u w:val="none"/>
        </w:rPr>
        <w:t>Defourny</w:t>
      </w:r>
      <w:r>
        <w:rPr>
          <w:b w:val="0"/>
          <w:i w:val="0"/>
          <w:smallCaps w:val="0"/>
          <w:strike w:val="0"/>
          <w:sz w:val="16"/>
          <w:u w:val="none"/>
        </w:rPr>
        <w:t xml:space="preserve"> and Nyssens, 2010; </w:t>
      </w:r>
      <w:r>
        <w:rPr>
          <w:b w:val="0"/>
          <w:i w:val="0"/>
          <w:smallCaps w:val="0"/>
          <w:strike w:val="0"/>
          <w:sz w:val="16"/>
          <w:u w:val="none"/>
        </w:rPr>
        <w:t>Fichter</w:t>
      </w:r>
      <w:r>
        <w:rPr>
          <w:b w:val="0"/>
          <w:i w:val="0"/>
          <w:smallCaps w:val="0"/>
          <w:strike w:val="0"/>
          <w:sz w:val="16"/>
          <w:u w:val="none"/>
        </w:rPr>
        <w:t xml:space="preserve"> and </w:t>
      </w:r>
      <w:r>
        <w:rPr>
          <w:b w:val="0"/>
          <w:i w:val="0"/>
          <w:smallCaps w:val="0"/>
          <w:strike w:val="0"/>
          <w:sz w:val="16"/>
          <w:u w:val="none"/>
        </w:rPr>
        <w:t>Tiemann</w:t>
      </w:r>
      <w:r>
        <w:rPr>
          <w:b w:val="0"/>
          <w:i w:val="0"/>
          <w:smallCaps w:val="0"/>
          <w:strike w:val="0"/>
          <w:sz w:val="16"/>
          <w:u w:val="none"/>
        </w:rPr>
        <w:t xml:space="preserve">, 2018; </w:t>
      </w:r>
      <w:r>
        <w:rPr>
          <w:b w:val="0"/>
          <w:i w:val="0"/>
          <w:smallCaps w:val="0"/>
          <w:strike w:val="0"/>
          <w:sz w:val="16"/>
          <w:u w:val="none"/>
        </w:rPr>
        <w:t>Kerlin</w:t>
      </w:r>
      <w:r>
        <w:rPr>
          <w:b w:val="0"/>
          <w:i w:val="0"/>
          <w:smallCaps w:val="0"/>
          <w:strike w:val="0"/>
          <w:sz w:val="16"/>
          <w:u w:val="none"/>
        </w:rPr>
        <w:t xml:space="preserve">, 2006). Future research should thus investigate other geographical areas, in particular, since the use of IPRs also varies between different regulatory contexts (e.g., Cohen et al., 2002; </w:t>
      </w:r>
      <w:r>
        <w:rPr>
          <w:b w:val="0"/>
          <w:i w:val="0"/>
          <w:smallCaps w:val="0"/>
          <w:strike w:val="0"/>
          <w:sz w:val="16"/>
          <w:u w:val="none"/>
        </w:rPr>
        <w:t>Maskus</w:t>
      </w:r>
      <w:r>
        <w:rPr>
          <w:b w:val="0"/>
          <w:i w:val="0"/>
          <w:smallCaps w:val="0"/>
          <w:strike w:val="0"/>
          <w:sz w:val="16"/>
          <w:u w:val="none"/>
        </w:rPr>
        <w:t>, 2000).</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