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And FTC guidance is </w:t>
      </w:r>
      <w:r>
        <w:rPr>
          <w:b/>
          <w:i w:val="0"/>
          <w:smallCaps w:val="0"/>
          <w:strike w:val="0"/>
          <w:sz w:val="26"/>
          <w:u w:val="single"/>
        </w:rPr>
        <w:t>critical</w:t>
      </w:r>
      <w:r>
        <w:rPr>
          <w:b/>
          <w:i w:val="0"/>
          <w:smallCaps w:val="0"/>
          <w:strike w:val="0"/>
          <w:sz w:val="26"/>
          <w:u w:val="none"/>
        </w:rPr>
        <w:t xml:space="preserve"> for data security.</w:t>
      </w:r>
    </w:p>
    <w:p>
      <w:pPr>
        <w:spacing w:after="80"/>
      </w:pPr>
      <w:r>
        <w:rPr>
          <w:b w:val="0"/>
          <w:i w:val="0"/>
          <w:smallCaps w:val="0"/>
          <w:strike w:val="0"/>
          <w:u w:val="none"/>
        </w:rPr>
        <w:t xml:space="preserve">Scott </w:t>
      </w:r>
      <w:r>
        <w:rPr>
          <w:b/>
          <w:i w:val="0"/>
          <w:smallCaps w:val="0"/>
          <w:strike w:val="0"/>
          <w:sz w:val="26"/>
          <w:u w:val="none"/>
        </w:rPr>
        <w:t>Sinder</w:t>
      </w:r>
      <w:r>
        <w:rPr>
          <w:b/>
          <w:i w:val="0"/>
          <w:smallCaps w:val="0"/>
          <w:strike w:val="0"/>
          <w:sz w:val="26"/>
          <w:u w:val="none"/>
        </w:rPr>
        <w:t xml:space="preserve"> et al. 24</w:t>
      </w:r>
      <w:r>
        <w:rPr>
          <w:b w:val="0"/>
          <w:i w:val="0"/>
          <w:smallCaps w:val="0"/>
          <w:strike w:val="0"/>
          <w:u w:val="none"/>
        </w:rPr>
        <w:t>,</w:t>
      </w:r>
      <w:r>
        <w:rPr>
          <w:b w:val="0"/>
          <w:i w:val="0"/>
          <w:smallCaps w:val="0"/>
          <w:strike w:val="0"/>
          <w:u w:val="none"/>
        </w:rPr>
        <w:t xml:space="preserve"> </w:t>
      </w:r>
      <w:r>
        <w:rPr>
          <w:b w:val="0"/>
          <w:i w:val="0"/>
          <w:smallCaps w:val="0"/>
          <w:strike w:val="0"/>
          <w:u w:val="none"/>
        </w:rPr>
        <w:t>represents trade associations and companies, as both a legislative advocate and a litigator, on a wide range of issues in state and federal trial and appellate courts</w:t>
      </w:r>
      <w:r>
        <w:rPr>
          <w:b w:val="0"/>
          <w:i w:val="0"/>
          <w:smallCaps w:val="0"/>
          <w:strike w:val="0"/>
          <w:u w:val="none"/>
        </w:rPr>
        <w:t>, 05/13/2024, “</w:t>
      </w:r>
      <w:r>
        <w:rPr>
          <w:b w:val="0"/>
          <w:i w:val="0"/>
          <w:smallCaps w:val="0"/>
          <w:strike w:val="0"/>
          <w:u w:val="none"/>
        </w:rPr>
        <w:t>American Privacy Rights Act: An Overview of the Landmark Privacy Legislation Being Considered by Congress</w:t>
      </w:r>
      <w:r>
        <w:rPr>
          <w:b w:val="0"/>
          <w:i w:val="0"/>
          <w:smallCaps w:val="0"/>
          <w:strike w:val="0"/>
          <w:u w:val="none"/>
        </w:rPr>
        <w:t xml:space="preserve">,” </w:t>
      </w:r>
      <w:r>
        <w:rPr>
          <w:b w:val="0"/>
          <w:i w:val="0"/>
          <w:smallCaps w:val="0"/>
          <w:strike w:val="0"/>
          <w:u w:val="none"/>
        </w:rPr>
        <w:t>https://www.steptoe.com/en/news-publications/american-privacy-rights-act-an-overview-of-the-landmark-privacy-legislation-being-considered-by-congress.html</w:t>
      </w:r>
      <w:r>
        <w:rPr>
          <w:b w:val="0"/>
          <w:i w:val="0"/>
          <w:smallCaps w:val="0"/>
          <w:strike w:val="0"/>
          <w:u w:val="none"/>
        </w:rPr>
        <w:t xml:space="preserve">, </w:t>
      </w:r>
      <w:r>
        <w:rPr>
          <w:b w:val="0"/>
          <w:i w:val="0"/>
          <w:smallCaps w:val="0"/>
          <w:strike w:val="0"/>
          <w:u w:val="none"/>
        </w:rPr>
        <w:t>avr</w:t>
      </w:r>
    </w:p>
    <w:p>
      <w:pPr>
        <w:spacing w:after="60"/>
      </w:pPr>
      <w:r>
        <w:rPr>
          <w:b w:val="0"/>
          <w:i w:val="0"/>
          <w:smallCaps w:val="0"/>
          <w:strike w:val="0"/>
          <w:sz w:val="22"/>
          <w:highlight w:val="cyan"/>
          <w:u w:val="single"/>
        </w:rPr>
        <w:t xml:space="preserve">Under </w:t>
      </w:r>
      <w:r>
        <w:rPr>
          <w:b/>
          <w:i w:val="0"/>
          <w:smallCaps w:val="0"/>
          <w:strike w:val="0"/>
          <w:sz w:val="24"/>
          <w:highlight w:val="cyan"/>
          <w:u w:val="single"/>
        </w:rPr>
        <w:t>APRA</w:t>
      </w:r>
      <w:r>
        <w:rPr>
          <w:b w:val="0"/>
          <w:i w:val="0"/>
          <w:smallCaps w:val="0"/>
          <w:strike w:val="0"/>
          <w:sz w:val="16"/>
          <w:u w:val="none"/>
        </w:rPr>
        <w:t xml:space="preserve">, similar to CCPA/CPRA, </w:t>
      </w:r>
      <w:r>
        <w:rPr>
          <w:b w:val="0"/>
          <w:i w:val="0"/>
          <w:smallCaps w:val="0"/>
          <w:strike w:val="0"/>
          <w:sz w:val="22"/>
          <w:u w:val="single"/>
        </w:rPr>
        <w:t xml:space="preserve">covered </w:t>
      </w:r>
      <w:r>
        <w:rPr>
          <w:b w:val="0"/>
          <w:i w:val="0"/>
          <w:smallCaps w:val="0"/>
          <w:strike w:val="0"/>
          <w:sz w:val="22"/>
          <w:highlight w:val="cyan"/>
          <w:u w:val="single"/>
        </w:rPr>
        <w:t xml:space="preserve">entities must </w:t>
      </w:r>
      <w:r>
        <w:rPr>
          <w:b w:val="0"/>
          <w:i w:val="0"/>
          <w:smallCaps w:val="0"/>
          <w:strike w:val="0"/>
          <w:sz w:val="22"/>
          <w:u w:val="single"/>
        </w:rPr>
        <w:t>establish</w:t>
      </w:r>
      <w:r>
        <w:rPr>
          <w:b w:val="0"/>
          <w:i w:val="0"/>
          <w:smallCaps w:val="0"/>
          <w:strike w:val="0"/>
          <w:sz w:val="16"/>
          <w:u w:val="none"/>
        </w:rPr>
        <w:t xml:space="preserve">, </w:t>
      </w:r>
      <w:r>
        <w:rPr>
          <w:b w:val="0"/>
          <w:i w:val="0"/>
          <w:smallCaps w:val="0"/>
          <w:strike w:val="0"/>
          <w:sz w:val="22"/>
          <w:u w:val="single"/>
        </w:rPr>
        <w:t>implement</w:t>
      </w:r>
      <w:r>
        <w:rPr>
          <w:b w:val="0"/>
          <w:i w:val="0"/>
          <w:smallCaps w:val="0"/>
          <w:strike w:val="0"/>
          <w:sz w:val="16"/>
          <w:u w:val="none"/>
        </w:rPr>
        <w:t xml:space="preserve">, and </w:t>
      </w:r>
      <w:r>
        <w:rPr>
          <w:b w:val="0"/>
          <w:i w:val="0"/>
          <w:smallCaps w:val="0"/>
          <w:strike w:val="0"/>
          <w:sz w:val="22"/>
          <w:highlight w:val="cyan"/>
          <w:u w:val="single"/>
        </w:rPr>
        <w:t xml:space="preserve">maintain data </w:t>
      </w:r>
      <w:r>
        <w:rPr>
          <w:b/>
          <w:i w:val="0"/>
          <w:smallCaps w:val="0"/>
          <w:strike w:val="0"/>
          <w:sz w:val="24"/>
          <w:highlight w:val="cyan"/>
          <w:u w:val="single"/>
        </w:rPr>
        <w:t>security</w:t>
      </w:r>
      <w:r>
        <w:rPr>
          <w:b w:val="0"/>
          <w:i w:val="0"/>
          <w:smallCaps w:val="0"/>
          <w:strike w:val="0"/>
          <w:sz w:val="22"/>
          <w:u w:val="single"/>
        </w:rPr>
        <w:t xml:space="preserve"> practices</w:t>
      </w:r>
      <w:r>
        <w:rPr>
          <w:b w:val="0"/>
          <w:i w:val="0"/>
          <w:smallCaps w:val="0"/>
          <w:strike w:val="0"/>
          <w:sz w:val="16"/>
          <w:u w:val="none"/>
        </w:rPr>
        <w:t xml:space="preserve"> that are </w:t>
      </w:r>
      <w:r>
        <w:rPr>
          <w:b w:val="0"/>
          <w:i w:val="0"/>
          <w:smallCaps w:val="0"/>
          <w:strike w:val="0"/>
          <w:sz w:val="22"/>
          <w:highlight w:val="cyan"/>
          <w:u w:val="single"/>
        </w:rPr>
        <w:t>appropriate to</w:t>
      </w:r>
      <w:r>
        <w:rPr>
          <w:b w:val="0"/>
          <w:i w:val="0"/>
          <w:smallCaps w:val="0"/>
          <w:strike w:val="0"/>
          <w:sz w:val="22"/>
          <w:u w:val="single"/>
        </w:rPr>
        <w:t xml:space="preserve"> </w:t>
      </w:r>
      <w:r>
        <w:rPr>
          <w:b w:val="0"/>
          <w:i w:val="0"/>
          <w:smallCaps w:val="0"/>
          <w:strike w:val="0"/>
          <w:sz w:val="16"/>
          <w:u w:val="none"/>
        </w:rPr>
        <w:t xml:space="preserve">the </w:t>
      </w:r>
      <w:r>
        <w:rPr>
          <w:b w:val="0"/>
          <w:i w:val="0"/>
          <w:smallCaps w:val="0"/>
          <w:strike w:val="0"/>
          <w:sz w:val="22"/>
          <w:u w:val="single"/>
        </w:rPr>
        <w:t xml:space="preserve">entity's </w:t>
      </w:r>
      <w:r>
        <w:rPr>
          <w:b w:val="0"/>
          <w:i w:val="0"/>
          <w:smallCaps w:val="0"/>
          <w:strike w:val="0"/>
          <w:sz w:val="22"/>
          <w:highlight w:val="cyan"/>
          <w:u w:val="single"/>
        </w:rPr>
        <w:t>size</w:t>
      </w:r>
      <w:r>
        <w:rPr>
          <w:b w:val="0"/>
          <w:i w:val="0"/>
          <w:smallCaps w:val="0"/>
          <w:strike w:val="0"/>
          <w:sz w:val="16"/>
          <w:u w:val="none"/>
        </w:rPr>
        <w:t xml:space="preserve">, the nature and scope of the entity's </w:t>
      </w:r>
      <w:r>
        <w:rPr>
          <w:b w:val="0"/>
          <w:i w:val="0"/>
          <w:smallCaps w:val="0"/>
          <w:strike w:val="0"/>
          <w:sz w:val="22"/>
          <w:u w:val="single"/>
        </w:rPr>
        <w:t xml:space="preserve">data </w:t>
      </w:r>
      <w:r>
        <w:rPr>
          <w:b w:val="0"/>
          <w:i w:val="0"/>
          <w:smallCaps w:val="0"/>
          <w:strike w:val="0"/>
          <w:sz w:val="22"/>
          <w:highlight w:val="cyan"/>
          <w:u w:val="single"/>
        </w:rPr>
        <w:t>practices</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volume</w:t>
      </w:r>
      <w:r>
        <w:rPr>
          <w:b w:val="0"/>
          <w:i w:val="0"/>
          <w:smallCaps w:val="0"/>
          <w:strike w:val="0"/>
          <w:sz w:val="16"/>
          <w:u w:val="none"/>
        </w:rPr>
        <w:t xml:space="preserve">, </w:t>
      </w:r>
      <w:r>
        <w:rPr>
          <w:b w:val="0"/>
          <w:i w:val="0"/>
          <w:smallCaps w:val="0"/>
          <w:strike w:val="0"/>
          <w:sz w:val="22"/>
          <w:highlight w:val="cyan"/>
          <w:u w:val="single"/>
        </w:rPr>
        <w:t>nature</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4"/>
          <w:highlight w:val="cyan"/>
          <w:u w:val="single"/>
        </w:rPr>
        <w:t>sensitivity</w:t>
      </w:r>
      <w:r>
        <w:rPr>
          <w:b w:val="0"/>
          <w:i w:val="0"/>
          <w:smallCaps w:val="0"/>
          <w:strike w:val="0"/>
          <w:sz w:val="22"/>
          <w:highlight w:val="cyan"/>
          <w:u w:val="single"/>
        </w:rPr>
        <w:t xml:space="preserve"> of the data</w:t>
      </w:r>
      <w:r>
        <w:rPr>
          <w:b w:val="0"/>
          <w:i w:val="0"/>
          <w:smallCaps w:val="0"/>
          <w:strike w:val="0"/>
          <w:sz w:val="16"/>
          <w:u w:val="none"/>
        </w:rPr>
        <w:t xml:space="preserve">, and state-of-the-art administrative, technical, and </w:t>
      </w:r>
      <w:r>
        <w:rPr>
          <w:b w:val="0"/>
          <w:i w:val="0"/>
          <w:smallCaps w:val="0"/>
          <w:strike w:val="0"/>
          <w:sz w:val="22"/>
          <w:u w:val="single"/>
        </w:rPr>
        <w:t>physical safeguards</w:t>
      </w:r>
      <w:r>
        <w:rPr>
          <w:b w:val="0"/>
          <w:i w:val="0"/>
          <w:smallCaps w:val="0"/>
          <w:strike w:val="0"/>
          <w:sz w:val="16"/>
          <w:u w:val="none"/>
        </w:rPr>
        <w:t xml:space="preserve">. The legislation provides a list of </w:t>
      </w:r>
      <w:r>
        <w:rPr>
          <w:b w:val="0"/>
          <w:i w:val="0"/>
          <w:smallCaps w:val="0"/>
          <w:strike w:val="0"/>
          <w:sz w:val="22"/>
          <w:u w:val="single"/>
        </w:rPr>
        <w:t>specific practices</w:t>
      </w:r>
      <w:r>
        <w:rPr>
          <w:b w:val="0"/>
          <w:i w:val="0"/>
          <w:smallCaps w:val="0"/>
          <w:strike w:val="0"/>
          <w:sz w:val="16"/>
          <w:u w:val="none"/>
        </w:rPr>
        <w:t xml:space="preserve"> that covered entities must follow. For example, covered </w:t>
      </w:r>
      <w:r>
        <w:rPr>
          <w:b w:val="0"/>
          <w:i w:val="0"/>
          <w:smallCaps w:val="0"/>
          <w:strike w:val="0"/>
          <w:sz w:val="22"/>
          <w:highlight w:val="cyan"/>
          <w:u w:val="single"/>
        </w:rPr>
        <w:t>entities must</w:t>
      </w:r>
      <w:r>
        <w:rPr>
          <w:b w:val="0"/>
          <w:i w:val="0"/>
          <w:smallCaps w:val="0"/>
          <w:strike w:val="0"/>
          <w:sz w:val="16"/>
          <w:u w:val="none"/>
        </w:rPr>
        <w:t xml:space="preserve"> routinely </w:t>
      </w:r>
      <w:r>
        <w:rPr>
          <w:b/>
          <w:i w:val="0"/>
          <w:smallCaps w:val="0"/>
          <w:strike w:val="0"/>
          <w:sz w:val="24"/>
          <w:highlight w:val="cyan"/>
          <w:u w:val="single"/>
        </w:rPr>
        <w:t>identify</w:t>
      </w:r>
      <w:r>
        <w:rPr>
          <w:b w:val="0"/>
          <w:i w:val="0"/>
          <w:smallCaps w:val="0"/>
          <w:strike w:val="0"/>
          <w:sz w:val="22"/>
          <w:highlight w:val="cyan"/>
          <w:u w:val="single"/>
        </w:rPr>
        <w:t xml:space="preserve"> and </w:t>
      </w:r>
      <w:r>
        <w:rPr>
          <w:b/>
          <w:i w:val="0"/>
          <w:smallCaps w:val="0"/>
          <w:strike w:val="0"/>
          <w:sz w:val="24"/>
          <w:highlight w:val="cyan"/>
          <w:u w:val="single"/>
        </w:rPr>
        <w:t>assess</w:t>
      </w:r>
      <w:r>
        <w:rPr>
          <w:b w:val="0"/>
          <w:i w:val="0"/>
          <w:smallCaps w:val="0"/>
          <w:strike w:val="0"/>
          <w:sz w:val="16"/>
          <w:u w:val="none"/>
        </w:rPr>
        <w:t xml:space="preserve"> any reasonably </w:t>
      </w:r>
      <w:r>
        <w:rPr>
          <w:b/>
          <w:i w:val="0"/>
          <w:smallCaps w:val="0"/>
          <w:strike w:val="0"/>
          <w:sz w:val="24"/>
          <w:highlight w:val="cyan"/>
          <w:u w:val="single"/>
        </w:rPr>
        <w:t>foreseeable</w:t>
      </w:r>
      <w:r>
        <w:rPr>
          <w:b w:val="0"/>
          <w:i w:val="0"/>
          <w:smallCaps w:val="0"/>
          <w:strike w:val="0"/>
          <w:sz w:val="22"/>
          <w:highlight w:val="cyan"/>
          <w:u w:val="single"/>
        </w:rPr>
        <w:t xml:space="preserve"> risk to each system</w:t>
      </w:r>
      <w:r>
        <w:rPr>
          <w:b w:val="0"/>
          <w:i w:val="0"/>
          <w:smallCaps w:val="0"/>
          <w:strike w:val="0"/>
          <w:sz w:val="16"/>
          <w:u w:val="none"/>
        </w:rPr>
        <w:t xml:space="preserve"> maintained by the </w:t>
      </w:r>
      <w:r>
        <w:rPr>
          <w:b w:val="0"/>
          <w:i w:val="0"/>
          <w:smallCaps w:val="0"/>
          <w:strike w:val="0"/>
          <w:sz w:val="22"/>
          <w:u w:val="single"/>
        </w:rPr>
        <w:t>covered entity</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must take preventative and corrective action to </w:t>
      </w:r>
      <w:r>
        <w:rPr>
          <w:b w:val="0"/>
          <w:i w:val="0"/>
          <w:smallCaps w:val="0"/>
          <w:strike w:val="0"/>
          <w:sz w:val="22"/>
          <w:highlight w:val="cyan"/>
          <w:u w:val="single"/>
        </w:rPr>
        <w:t xml:space="preserve">mitigate any such </w:t>
      </w:r>
      <w:r>
        <w:rPr>
          <w:b/>
          <w:i w:val="0"/>
          <w:smallCaps w:val="0"/>
          <w:strike w:val="0"/>
          <w:sz w:val="24"/>
          <w:highlight w:val="cyan"/>
          <w:u w:val="single"/>
        </w:rPr>
        <w:t>risk</w:t>
      </w:r>
      <w:r>
        <w:rPr>
          <w:b w:val="0"/>
          <w:i w:val="0"/>
          <w:smallCaps w:val="0"/>
          <w:strike w:val="0"/>
          <w:sz w:val="16"/>
          <w:u w:val="none"/>
        </w:rPr>
        <w:t>.</w:t>
      </w:r>
    </w:p>
    <w:p>
      <w:pPr>
        <w:spacing w:after="60"/>
      </w:pPr>
      <w:r>
        <w:rPr>
          <w:b w:val="0"/>
          <w:i w:val="0"/>
          <w:smallCaps w:val="0"/>
          <w:strike w:val="0"/>
          <w:sz w:val="22"/>
          <w:u w:val="single"/>
        </w:rPr>
        <w:t>Enforcement</w:t>
      </w:r>
      <w:r>
        <w:rPr>
          <w:b w:val="0"/>
          <w:i w:val="0"/>
          <w:smallCaps w:val="0"/>
          <w:strike w:val="0"/>
          <w:sz w:val="16"/>
          <w:u w:val="none"/>
        </w:rPr>
        <w:t xml:space="preserve"> and Penalties</w:t>
      </w:r>
    </w:p>
    <w:p>
      <w:pPr>
        <w:spacing w:after="60"/>
      </w:pPr>
      <w:r>
        <w:rPr>
          <w:b w:val="0"/>
          <w:i w:val="0"/>
          <w:smallCaps w:val="0"/>
          <w:strike w:val="0"/>
          <w:sz w:val="16"/>
          <w:u w:val="none"/>
        </w:rPr>
        <w:t xml:space="preserve">The draft legislation provides for several enforcement mechanisms, including by the </w:t>
      </w:r>
      <w:r>
        <w:rPr>
          <w:b w:val="0"/>
          <w:i w:val="0"/>
          <w:smallCaps w:val="0"/>
          <w:strike w:val="0"/>
          <w:sz w:val="22"/>
          <w:u w:val="single"/>
        </w:rPr>
        <w:t>FTC</w:t>
      </w:r>
      <w:r>
        <w:rPr>
          <w:b w:val="0"/>
          <w:i w:val="0"/>
          <w:smallCaps w:val="0"/>
          <w:strike w:val="0"/>
          <w:sz w:val="16"/>
          <w:u w:val="none"/>
        </w:rPr>
        <w:t xml:space="preserve">, state attorneys general, and a private right of action. The </w:t>
      </w:r>
      <w:r>
        <w:rPr>
          <w:b w:val="0"/>
          <w:i w:val="0"/>
          <w:smallCaps w:val="0"/>
          <w:strike w:val="0"/>
          <w:sz w:val="22"/>
          <w:u w:val="single"/>
        </w:rPr>
        <w:t>FTC is directed to establish</w:t>
      </w:r>
      <w:r>
        <w:rPr>
          <w:b w:val="0"/>
          <w:i w:val="0"/>
          <w:smallCaps w:val="0"/>
          <w:strike w:val="0"/>
          <w:sz w:val="16"/>
          <w:u w:val="none"/>
        </w:rPr>
        <w:t xml:space="preserve">, within one year after APRA’s enactment, a new bureau to carry out its authority under APRA. </w:t>
      </w:r>
      <w:r>
        <w:rPr>
          <w:b w:val="0"/>
          <w:i w:val="0"/>
          <w:smallCaps w:val="0"/>
          <w:strike w:val="0"/>
          <w:sz w:val="22"/>
          <w:u w:val="single"/>
        </w:rPr>
        <w:t>APRA also authorizes enforcement</w:t>
      </w:r>
      <w:r>
        <w:rPr>
          <w:b w:val="0"/>
          <w:i w:val="0"/>
          <w:smallCaps w:val="0"/>
          <w:strike w:val="0"/>
          <w:sz w:val="16"/>
          <w:u w:val="none"/>
        </w:rPr>
        <w:t xml:space="preserve"> by state </w:t>
      </w:r>
      <w:r>
        <w:rPr>
          <w:b w:val="0"/>
          <w:i w:val="0"/>
          <w:smallCaps w:val="0"/>
          <w:strike w:val="0"/>
          <w:sz w:val="22"/>
          <w:u w:val="single"/>
        </w:rPr>
        <w:t>attorneys general</w:t>
      </w:r>
      <w:r>
        <w:rPr>
          <w:b w:val="0"/>
          <w:i w:val="0"/>
          <w:smallCaps w:val="0"/>
          <w:strike w:val="0"/>
          <w:sz w:val="16"/>
          <w:u w:val="none"/>
        </w:rPr>
        <w:t>, chief consumer protection officers, and other state officers in federal district court.</w:t>
      </w:r>
    </w:p>
    <w:p>
      <w:pPr>
        <w:spacing w:after="60"/>
      </w:pPr>
      <w:r>
        <w:rPr>
          <w:b w:val="0"/>
          <w:i w:val="0"/>
          <w:smallCaps w:val="0"/>
          <w:strike w:val="0"/>
          <w:sz w:val="16"/>
          <w:u w:val="none"/>
        </w:rPr>
        <w:t xml:space="preserve">Notably, </w:t>
      </w:r>
      <w:r>
        <w:rPr>
          <w:b/>
          <w:i w:val="0"/>
          <w:smallCaps w:val="0"/>
          <w:strike w:val="0"/>
          <w:sz w:val="24"/>
          <w:highlight w:val="cyan"/>
          <w:u w:val="single"/>
        </w:rPr>
        <w:t>APRA</w:t>
      </w:r>
      <w:r>
        <w:rPr>
          <w:b w:val="0"/>
          <w:i w:val="0"/>
          <w:smallCaps w:val="0"/>
          <w:strike w:val="0"/>
          <w:sz w:val="22"/>
          <w:highlight w:val="cyan"/>
          <w:u w:val="single"/>
        </w:rPr>
        <w:t xml:space="preserve"> allows individuals to initiate a civil </w:t>
      </w:r>
      <w:r>
        <w:rPr>
          <w:b/>
          <w:i w:val="0"/>
          <w:smallCaps w:val="0"/>
          <w:strike w:val="0"/>
          <w:sz w:val="24"/>
          <w:highlight w:val="cyan"/>
          <w:u w:val="single"/>
        </w:rPr>
        <w:t>action</w:t>
      </w:r>
      <w:r>
        <w:rPr>
          <w:b w:val="0"/>
          <w:i w:val="0"/>
          <w:smallCaps w:val="0"/>
          <w:strike w:val="0"/>
          <w:sz w:val="16"/>
          <w:u w:val="none"/>
        </w:rPr>
        <w:t xml:space="preserve"> </w:t>
      </w:r>
      <w:r>
        <w:rPr>
          <w:b w:val="0"/>
          <w:i w:val="0"/>
          <w:smallCaps w:val="0"/>
          <w:strike w:val="0"/>
          <w:sz w:val="22"/>
          <w:highlight w:val="cyan"/>
          <w:u w:val="single"/>
        </w:rPr>
        <w:t xml:space="preserve">against an entity that </w:t>
      </w:r>
      <w:r>
        <w:rPr>
          <w:b/>
          <w:i w:val="0"/>
          <w:smallCaps w:val="0"/>
          <w:strike w:val="0"/>
          <w:sz w:val="24"/>
          <w:highlight w:val="cyan"/>
          <w:u w:val="single"/>
        </w:rPr>
        <w:t>violates</w:t>
      </w:r>
      <w:r>
        <w:rPr>
          <w:b w:val="0"/>
          <w:i w:val="0"/>
          <w:smallCaps w:val="0"/>
          <w:strike w:val="0"/>
          <w:sz w:val="22"/>
          <w:highlight w:val="cyan"/>
          <w:u w:val="single"/>
        </w:rPr>
        <w:t xml:space="preserve"> their rights</w:t>
      </w:r>
      <w:r>
        <w:rPr>
          <w:b w:val="0"/>
          <w:i w:val="0"/>
          <w:smallCaps w:val="0"/>
          <w:strike w:val="0"/>
          <w:sz w:val="16"/>
          <w:u w:val="none"/>
        </w:rPr>
        <w:t xml:space="preserve">. In such cases, </w:t>
      </w:r>
      <w:r>
        <w:rPr>
          <w:b w:val="0"/>
          <w:i w:val="0"/>
          <w:smallCaps w:val="0"/>
          <w:strike w:val="0"/>
          <w:sz w:val="22"/>
          <w:highlight w:val="cyan"/>
          <w:u w:val="single"/>
        </w:rPr>
        <w:t>individuals may recover actual damages</w:t>
      </w:r>
      <w:r>
        <w:rPr>
          <w:b w:val="0"/>
          <w:i w:val="0"/>
          <w:smallCaps w:val="0"/>
          <w:strike w:val="0"/>
          <w:sz w:val="16"/>
          <w:u w:val="none"/>
        </w:rPr>
        <w:t xml:space="preserve">, </w:t>
      </w:r>
      <w:r>
        <w:rPr>
          <w:b w:val="0"/>
          <w:i w:val="0"/>
          <w:smallCaps w:val="0"/>
          <w:strike w:val="0"/>
          <w:sz w:val="22"/>
          <w:highlight w:val="cyan"/>
          <w:u w:val="single"/>
        </w:rPr>
        <w:t>injunctive relief</w:t>
      </w:r>
      <w:r>
        <w:rPr>
          <w:b w:val="0"/>
          <w:i w:val="0"/>
          <w:smallCaps w:val="0"/>
          <w:strike w:val="0"/>
          <w:sz w:val="16"/>
          <w:u w:val="none"/>
        </w:rPr>
        <w:t xml:space="preserve">, </w:t>
      </w:r>
      <w:r>
        <w:rPr>
          <w:b w:val="0"/>
          <w:i w:val="0"/>
          <w:smallCaps w:val="0"/>
          <w:strike w:val="0"/>
          <w:sz w:val="22"/>
          <w:highlight w:val="cyan"/>
          <w:u w:val="single"/>
        </w:rPr>
        <w:t>declaratory relief</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reasonable attorney </w:t>
      </w:r>
      <w:r>
        <w:rPr>
          <w:b w:val="0"/>
          <w:i w:val="0"/>
          <w:smallCaps w:val="0"/>
          <w:strike w:val="0"/>
          <w:sz w:val="22"/>
          <w:highlight w:val="cyan"/>
          <w:u w:val="single"/>
        </w:rPr>
        <w:t>fees and costs</w:t>
      </w:r>
      <w:r>
        <w:rPr>
          <w:b w:val="0"/>
          <w:i w:val="0"/>
          <w:smallCaps w:val="0"/>
          <w:strike w:val="0"/>
          <w:sz w:val="16"/>
          <w:u w:val="none"/>
        </w:rPr>
        <w:t>. Individuals also retain the right to sue under Illinois's Biometric Information Privacy Act, and Genetic Information Act, and the California Privacy Rights Act. The legislation provides entities with a 30-day period to cure prior to lawsuits seeking injunctive relief and a 30-day notice period prior to lawsuits seeking actual damages. However, the 30-day cure and notice periods do not apply in actions involving a substantial privacy harm.</w:t>
      </w:r>
    </w:p>
    <w:p>
      <w:pPr>
        <w:spacing w:after="60"/>
      </w:pPr>
      <w:r>
        <w:rPr>
          <w:b w:val="0"/>
          <w:i w:val="0"/>
          <w:smallCaps w:val="0"/>
          <w:strike w:val="0"/>
          <w:sz w:val="22"/>
          <w:u w:val="single"/>
        </w:rPr>
        <w:t>APRA's private right of action goes well beyond current privacy laws</w:t>
      </w:r>
      <w:r>
        <w:rPr>
          <w:b w:val="0"/>
          <w:i w:val="0"/>
          <w:smallCaps w:val="0"/>
          <w:strike w:val="0"/>
          <w:sz w:val="16"/>
          <w:u w:val="none"/>
        </w:rPr>
        <w:t xml:space="preserve"> in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whether the GLBA or nearly all state privacy statutes that do not permit private actions. Indeed, APRA's private right of action surpasses the private right of actions in CCPA and CPRA, each of which only permits private actions for breaches of data security requirements. </w:t>
      </w:r>
    </w:p>
    <w:p>
      <w:pPr>
        <w:spacing w:after="60"/>
      </w:pPr>
      <w:r>
        <w:rPr>
          <w:b w:val="0"/>
          <w:i w:val="0"/>
          <w:smallCaps w:val="0"/>
          <w:strike w:val="0"/>
          <w:sz w:val="16"/>
          <w:u w:val="none"/>
        </w:rPr>
        <w:t>FTC Regulations</w:t>
      </w:r>
    </w:p>
    <w:p>
      <w:pPr>
        <w:spacing w:after="60"/>
      </w:pPr>
      <w:r>
        <w:rPr>
          <w:b w:val="0"/>
          <w:i w:val="0"/>
          <w:smallCaps w:val="0"/>
          <w:strike w:val="0"/>
          <w:sz w:val="16"/>
          <w:u w:val="none"/>
        </w:rPr>
        <w:t xml:space="preserve">If enacted, </w:t>
      </w:r>
      <w:r>
        <w:rPr>
          <w:b w:val="0"/>
          <w:i w:val="0"/>
          <w:smallCaps w:val="0"/>
          <w:strike w:val="0"/>
          <w:sz w:val="22"/>
          <w:highlight w:val="cyan"/>
          <w:u w:val="single"/>
        </w:rPr>
        <w:t>the FTC will</w:t>
      </w:r>
      <w:r>
        <w:rPr>
          <w:b w:val="0"/>
          <w:i w:val="0"/>
          <w:smallCaps w:val="0"/>
          <w:strike w:val="0"/>
          <w:sz w:val="16"/>
          <w:u w:val="none"/>
        </w:rPr>
        <w:t xml:space="preserve"> be required to </w:t>
      </w:r>
      <w:r>
        <w:rPr>
          <w:b w:val="0"/>
          <w:i w:val="0"/>
          <w:smallCaps w:val="0"/>
          <w:strike w:val="0"/>
          <w:sz w:val="22"/>
          <w:highlight w:val="cyan"/>
          <w:u w:val="single"/>
        </w:rPr>
        <w:t xml:space="preserve">issue guidance on </w:t>
      </w:r>
      <w:r>
        <w:rPr>
          <w:b w:val="0"/>
          <w:i w:val="0"/>
          <w:smallCaps w:val="0"/>
          <w:strike w:val="0"/>
          <w:sz w:val="22"/>
          <w:u w:val="single"/>
        </w:rPr>
        <w:t>several aspects</w:t>
      </w:r>
      <w:r>
        <w:rPr>
          <w:b w:val="0"/>
          <w:i w:val="0"/>
          <w:smallCaps w:val="0"/>
          <w:strike w:val="0"/>
          <w:sz w:val="16"/>
          <w:u w:val="none"/>
        </w:rPr>
        <w:t xml:space="preserve"> of the </w:t>
      </w:r>
      <w:r>
        <w:rPr>
          <w:b w:val="0"/>
          <w:i w:val="0"/>
          <w:smallCaps w:val="0"/>
          <w:strike w:val="0"/>
          <w:sz w:val="22"/>
          <w:u w:val="single"/>
        </w:rPr>
        <w:t>legislation</w:t>
      </w:r>
      <w:r>
        <w:rPr>
          <w:b w:val="0"/>
          <w:i w:val="0"/>
          <w:smallCaps w:val="0"/>
          <w:strike w:val="0"/>
          <w:sz w:val="16"/>
          <w:u w:val="none"/>
        </w:rPr>
        <w:t xml:space="preserve">, including </w:t>
      </w:r>
      <w:r>
        <w:rPr>
          <w:b w:val="0"/>
          <w:i w:val="0"/>
          <w:smallCaps w:val="0"/>
          <w:strike w:val="0"/>
          <w:sz w:val="22"/>
          <w:highlight w:val="cyan"/>
          <w:u w:val="single"/>
        </w:rPr>
        <w:t xml:space="preserve">compliance with due </w:t>
      </w:r>
      <w:r>
        <w:rPr>
          <w:b/>
          <w:i w:val="0"/>
          <w:smallCaps w:val="0"/>
          <w:strike w:val="0"/>
          <w:sz w:val="24"/>
          <w:highlight w:val="cyan"/>
          <w:u w:val="single"/>
        </w:rPr>
        <w:t>diligence</w:t>
      </w:r>
      <w:r>
        <w:rPr>
          <w:b w:val="0"/>
          <w:i w:val="0"/>
          <w:smallCaps w:val="0"/>
          <w:strike w:val="0"/>
          <w:sz w:val="16"/>
          <w:u w:val="none"/>
        </w:rPr>
        <w:t xml:space="preserve"> requirements, </w:t>
      </w:r>
      <w:r>
        <w:rPr>
          <w:b w:val="0"/>
          <w:i w:val="0"/>
          <w:smallCaps w:val="0"/>
          <w:strike w:val="0"/>
          <w:sz w:val="22"/>
          <w:highlight w:val="cyan"/>
          <w:u w:val="single"/>
        </w:rPr>
        <w:t xml:space="preserve">compliance with </w:t>
      </w:r>
      <w:r>
        <w:rPr>
          <w:b/>
          <w:i w:val="0"/>
          <w:smallCaps w:val="0"/>
          <w:strike w:val="0"/>
          <w:sz w:val="24"/>
          <w:highlight w:val="cyan"/>
          <w:u w:val="single"/>
        </w:rPr>
        <w:t>opt-out</w:t>
      </w:r>
      <w:r>
        <w:rPr>
          <w:b w:val="0"/>
          <w:i w:val="0"/>
          <w:smallCaps w:val="0"/>
          <w:strike w:val="0"/>
          <w:sz w:val="22"/>
          <w:highlight w:val="cyan"/>
          <w:u w:val="single"/>
        </w:rPr>
        <w:t xml:space="preserve"> rights</w:t>
      </w:r>
      <w:r>
        <w:rPr>
          <w:b w:val="0"/>
          <w:i w:val="0"/>
          <w:smallCaps w:val="0"/>
          <w:strike w:val="0"/>
          <w:sz w:val="16"/>
          <w:u w:val="none"/>
        </w:rPr>
        <w:t xml:space="preserve"> for consequential decisions, the </w:t>
      </w:r>
      <w:r>
        <w:rPr>
          <w:b w:val="0"/>
          <w:i w:val="0"/>
          <w:smallCaps w:val="0"/>
          <w:strike w:val="0"/>
          <w:sz w:val="22"/>
          <w:highlight w:val="cyan"/>
          <w:u w:val="single"/>
        </w:rPr>
        <w:t xml:space="preserve">scope of the </w:t>
      </w:r>
      <w:r>
        <w:rPr>
          <w:b/>
          <w:i w:val="0"/>
          <w:smallCaps w:val="0"/>
          <w:strike w:val="0"/>
          <w:sz w:val="24"/>
          <w:highlight w:val="cyan"/>
          <w:u w:val="single"/>
        </w:rPr>
        <w:t>preemption</w:t>
      </w:r>
      <w:r>
        <w:rPr>
          <w:b w:val="0"/>
          <w:i w:val="0"/>
          <w:smallCaps w:val="0"/>
          <w:strike w:val="0"/>
          <w:sz w:val="22"/>
          <w:highlight w:val="cyan"/>
          <w:u w:val="single"/>
        </w:rPr>
        <w:t xml:space="preserve"> provisions</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the </w:t>
      </w:r>
      <w:r>
        <w:rPr>
          <w:b w:val="0"/>
          <w:i w:val="0"/>
          <w:smallCaps w:val="0"/>
          <w:strike w:val="0"/>
          <w:sz w:val="22"/>
          <w:highlight w:val="cyan"/>
          <w:u w:val="single"/>
        </w:rPr>
        <w:t xml:space="preserve">breadth of the data </w:t>
      </w:r>
      <w:r>
        <w:rPr>
          <w:b/>
          <w:i w:val="0"/>
          <w:smallCaps w:val="0"/>
          <w:strike w:val="0"/>
          <w:sz w:val="24"/>
          <w:highlight w:val="cyan"/>
          <w:u w:val="single"/>
        </w:rPr>
        <w:t>disclosures</w:t>
      </w:r>
      <w:r>
        <w:rPr>
          <w:b w:val="0"/>
          <w:i w:val="0"/>
          <w:smallCaps w:val="0"/>
          <w:strike w:val="0"/>
          <w:sz w:val="16"/>
          <w:u w:val="none"/>
        </w:rPr>
        <w:t xml:space="preserve"> necessary for </w:t>
      </w:r>
      <w:r>
        <w:rPr>
          <w:b w:val="0"/>
          <w:i w:val="0"/>
          <w:smallCaps w:val="0"/>
          <w:strike w:val="0"/>
          <w:sz w:val="22"/>
          <w:u w:val="single"/>
        </w:rPr>
        <w:t>required short-form privacy notices</w:t>
      </w:r>
      <w:r>
        <w:rPr>
          <w:b w:val="0"/>
          <w:i w:val="0"/>
          <w:smallCaps w:val="0"/>
          <w:strike w:val="0"/>
          <w:sz w:val="16"/>
          <w:u w:val="none"/>
        </w:rPr>
        <w:t>.</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