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Using the state as a heuristic is a </w:t>
      </w:r>
      <w:r>
        <w:rPr>
          <w:b/>
          <w:i w:val="0"/>
          <w:smallCaps w:val="0"/>
          <w:strike w:val="0"/>
          <w:sz w:val="26"/>
          <w:u w:val="single"/>
        </w:rPr>
        <w:t>necessary</w:t>
      </w:r>
      <w:r>
        <w:rPr>
          <w:b/>
          <w:i w:val="0"/>
          <w:smallCaps w:val="0"/>
          <w:strike w:val="0"/>
          <w:sz w:val="26"/>
          <w:u w:val="none"/>
        </w:rPr>
        <w:t xml:space="preserve"> aspect of international relations scholarship – the history of state-centrism is an argument </w:t>
      </w:r>
      <w:r>
        <w:rPr>
          <w:b/>
          <w:i w:val="0"/>
          <w:smallCaps w:val="0"/>
          <w:strike w:val="0"/>
          <w:sz w:val="26"/>
          <w:u w:val="single"/>
        </w:rPr>
        <w:t>in favor</w:t>
      </w:r>
      <w:r>
        <w:rPr>
          <w:b/>
          <w:i w:val="0"/>
          <w:smallCaps w:val="0"/>
          <w:strike w:val="0"/>
          <w:sz w:val="26"/>
          <w:u w:val="none"/>
        </w:rPr>
        <w:t xml:space="preserve"> of our theorizing.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Booth 14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[Ken Booth, prof. international politics @ Aberystwyth University, </w:t>
      </w:r>
      <w:r>
        <w:rPr>
          <w:b w:val="0"/>
          <w:i/>
          <w:smallCaps w:val="0"/>
          <w:strike w:val="0"/>
          <w:u w:val="none"/>
        </w:rPr>
        <w:t xml:space="preserve">International Relations: All That </w:t>
      </w:r>
      <w:r>
        <w:rPr>
          <w:b w:val="0"/>
          <w:i/>
          <w:smallCaps w:val="0"/>
          <w:strike w:val="0"/>
          <w:u w:val="none"/>
        </w:rPr>
        <w:t>Matters</w:t>
      </w:r>
      <w:r>
        <w:rPr>
          <w:b w:val="0"/>
          <w:i w:val="0"/>
          <w:smallCaps w:val="0"/>
          <w:strike w:val="0"/>
          <w:u w:val="none"/>
        </w:rPr>
        <w:t xml:space="preserve"> ;</w:t>
      </w:r>
      <w:r>
        <w:rPr>
          <w:b w:val="0"/>
          <w:i w:val="0"/>
          <w:smallCaps w:val="0"/>
          <w:strike w:val="0"/>
          <w:u w:val="none"/>
        </w:rPr>
        <w:t xml:space="preserve"> 7/17 EB]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Scholars love to debate the definition of their discipline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hardly surprising, as there is always a great deal riding on where one draws the line between what is in or out. In this book, </w:t>
      </w:r>
      <w:r>
        <w:rPr>
          <w:b w:val="0"/>
          <w:i w:val="0"/>
          <w:smallCaps w:val="0"/>
          <w:strike w:val="0"/>
          <w:u w:val="single"/>
        </w:rPr>
        <w:t>‘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nternational </w:t>
      </w:r>
      <w:r>
        <w:rPr>
          <w:b w:val="0"/>
          <w:i w:val="0"/>
          <w:smallCaps w:val="0"/>
          <w:strike w:val="0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u w:val="single"/>
        </w:rPr>
        <w:t xml:space="preserve">elations’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defined </w:t>
      </w:r>
      <w:r>
        <w:rPr>
          <w:b w:val="0"/>
          <w:i w:val="0"/>
          <w:smallCaps w:val="0"/>
          <w:strike w:val="0"/>
          <w:highlight w:val="cyan"/>
          <w:u w:val="single"/>
        </w:rPr>
        <w:t>simply</w:t>
      </w:r>
      <w:r>
        <w:rPr>
          <w:b w:val="0"/>
          <w:i w:val="0"/>
          <w:smallCaps w:val="0"/>
          <w:strike w:val="0"/>
          <w:u w:val="single"/>
        </w:rPr>
        <w:t xml:space="preserve"> as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international level of world politics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By ‘international level’ I mean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interactions largely</w:t>
      </w:r>
      <w:r>
        <w:rPr>
          <w:b w:val="0"/>
          <w:i w:val="0"/>
          <w:smallCaps w:val="0"/>
          <w:strike w:val="0"/>
          <w:u w:val="single"/>
        </w:rPr>
        <w:t xml:space="preserve"> (but not exclusively) </w:t>
      </w:r>
      <w:r>
        <w:rPr>
          <w:b w:val="0"/>
          <w:i w:val="0"/>
          <w:smallCaps w:val="0"/>
          <w:strike w:val="0"/>
          <w:highlight w:val="cyan"/>
          <w:u w:val="single"/>
        </w:rPr>
        <w:t>of sovereign states</w:t>
      </w:r>
      <w:r>
        <w:rPr>
          <w:b w:val="0"/>
          <w:i w:val="0"/>
          <w:smallCaps w:val="0"/>
          <w:strike w:val="0"/>
          <w:u w:val="single"/>
        </w:rPr>
        <w:t>; by ‘world politics’ I mean ‘who gets what, when and how across the world’</w:t>
      </w:r>
      <w:r>
        <w:rPr>
          <w:b w:val="0"/>
          <w:i w:val="0"/>
          <w:smallCaps w:val="0"/>
          <w:strike w:val="0"/>
          <w:sz w:val="16"/>
          <w:u w:val="none"/>
        </w:rPr>
        <w:t>, to stretch Harold Lasswell’s classical definition of ‘</w:t>
      </w:r>
      <w:r>
        <w:rPr>
          <w:b w:val="0"/>
          <w:i w:val="0"/>
          <w:smallCaps w:val="0"/>
          <w:strike w:val="0"/>
          <w:sz w:val="16"/>
          <w:u w:val="none"/>
        </w:rPr>
        <w:t>politics’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reason for accentuating the international level of world politics is twofold. First, as already mentioned, the international is a level with enormous ‘causal weight’. Second, </w:t>
      </w:r>
      <w:r>
        <w:rPr>
          <w:b w:val="0"/>
          <w:i w:val="0"/>
          <w:smallCaps w:val="0"/>
          <w:strike w:val="0"/>
          <w:u w:val="single"/>
        </w:rPr>
        <w:t>to engage with ‘who gets what, when and how across the world’ without a coherent focus such as ‘the international level’ is to invite bewilderment in the face of information overload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problem is evident in many of the doorstep-sized textbooks about ‘world’ or ‘global’ politics: what in the world is not a matter of ‘world </w:t>
      </w:r>
      <w:r>
        <w:rPr>
          <w:b w:val="0"/>
          <w:i w:val="0"/>
          <w:smallCaps w:val="0"/>
          <w:strike w:val="0"/>
          <w:sz w:val="16"/>
          <w:u w:val="none"/>
        </w:rPr>
        <w:t>politics’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The formulation proposed offers a distinct focus (‘the international’), while being empirically open (‘the world’). I owe this way of thinking largely to C.A.W. Manning, an early doyen of IR, who described academic international relations as having ‘a focus but not a periphery’. </w:t>
      </w:r>
      <w:r>
        <w:rPr>
          <w:b w:val="0"/>
          <w:i w:val="0"/>
          <w:smallCaps w:val="0"/>
          <w:strike w:val="0"/>
          <w:highlight w:val="cyan"/>
          <w:u w:val="single"/>
        </w:rPr>
        <w:t>By focusing on the international, critics will say that I have</w:t>
      </w:r>
      <w:r>
        <w:rPr>
          <w:b w:val="0"/>
          <w:i w:val="0"/>
          <w:smallCaps w:val="0"/>
          <w:strike w:val="0"/>
          <w:u w:val="single"/>
        </w:rPr>
        <w:t xml:space="preserve"> succumbed to </w:t>
      </w:r>
      <w:r>
        <w:rPr>
          <w:b w:val="0"/>
          <w:i w:val="0"/>
          <w:smallCaps w:val="0"/>
          <w:strike w:val="0"/>
          <w:highlight w:val="cyan"/>
          <w:u w:val="single"/>
        </w:rPr>
        <w:t>a ‘state-centric’ view</w:t>
      </w:r>
      <w:r>
        <w:rPr>
          <w:b w:val="0"/>
          <w:i w:val="0"/>
          <w:smallCaps w:val="0"/>
          <w:strike w:val="0"/>
          <w:u w:val="single"/>
        </w:rPr>
        <w:t xml:space="preserve"> of the world. This is the idea that states are the fundamental reality of world politics. Such a view is sometimes also described as being ‘statist’, meaning endorsing the idea that the state is and should be the highest level of both political decision-making and loyalty.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My position is more complicated: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 want to recognize the</w:t>
      </w:r>
      <w:r>
        <w:rPr>
          <w:b/>
          <w:i w:val="0"/>
          <w:smallCaps w:val="0"/>
          <w:strike w:val="0"/>
          <w:sz w:val="24"/>
          <w:u w:val="single"/>
        </w:rPr>
        <w:t xml:space="preserve"> empirical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significance of states and their relations without being statist</w:t>
      </w:r>
      <w:r>
        <w:rPr>
          <w:b/>
          <w:i w:val="0"/>
          <w:smallCaps w:val="0"/>
          <w:strike w:val="0"/>
          <w:sz w:val="24"/>
          <w:u w:val="single"/>
        </w:rPr>
        <w:t xml:space="preserve"> politically or ethically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like an atheist arguing about ‘religion’. An atheist cannot for long discuss religion without talking about God, but this does not make the atheist ‘God-centric’; it only means that the atheist is aware of the significance of God when talking about religion. The book will argue that </w:t>
      </w:r>
      <w:r>
        <w:rPr>
          <w:b w:val="0"/>
          <w:i w:val="0"/>
          <w:smallCaps w:val="0"/>
          <w:strike w:val="0"/>
          <w:u w:val="single"/>
        </w:rPr>
        <w:t>the international level of world politics is state-dominated in an empirical sense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(some states are the most powerful ‘actors’ in the world) without succumbing to state-centrism in a normative sense (believing that the contemporary states-system represents the best of all possible worlds). Later chapters will underline that states are not the only actors at the international level: some multinational corporations have more clout than some states. Nonetheless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it would be foolish to play down the</w:t>
      </w:r>
      <w:r>
        <w:rPr>
          <w:b w:val="0"/>
          <w:i w:val="0"/>
          <w:smallCaps w:val="0"/>
          <w:strike w:val="0"/>
          <w:u w:val="single"/>
        </w:rPr>
        <w:t xml:space="preserve"> continuing </w:t>
      </w:r>
      <w:r>
        <w:rPr>
          <w:b w:val="0"/>
          <w:i w:val="0"/>
          <w:smallCaps w:val="0"/>
          <w:strike w:val="0"/>
          <w:highlight w:val="cyan"/>
          <w:u w:val="single"/>
        </w:rPr>
        <w:t>significance of</w:t>
      </w:r>
      <w:r>
        <w:rPr>
          <w:b w:val="0"/>
          <w:i w:val="0"/>
          <w:smallCaps w:val="0"/>
          <w:strike w:val="0"/>
          <w:u w:val="single"/>
        </w:rPr>
        <w:t xml:space="preserve"> especially the most </w:t>
      </w:r>
      <w:r>
        <w:rPr>
          <w:b w:val="0"/>
          <w:i w:val="0"/>
          <w:smallCaps w:val="0"/>
          <w:strike w:val="0"/>
          <w:highlight w:val="cyan"/>
          <w:u w:val="single"/>
        </w:rPr>
        <w:t>powerful states</w:t>
      </w:r>
      <w:r>
        <w:rPr>
          <w:b w:val="0"/>
          <w:i w:val="0"/>
          <w:smallCaps w:val="0"/>
          <w:strike w:val="0"/>
          <w:u w:val="single"/>
        </w:rPr>
        <w:t xml:space="preserve"> in determining ‘who gets what’ across the world, or the continuing ‘causal weight’ of state interactions in shaping the ‘when and how’ of things happening. </w:t>
      </w:r>
      <w:r>
        <w:rPr>
          <w:b w:val="0"/>
          <w:i w:val="0"/>
          <w:smallCaps w:val="0"/>
          <w:strike w:val="0"/>
          <w:highlight w:val="cyan"/>
          <w:u w:val="single"/>
        </w:rPr>
        <w:t>Recognizing</w:t>
      </w:r>
      <w:r>
        <w:rPr>
          <w:b w:val="0"/>
          <w:i w:val="0"/>
          <w:smallCaps w:val="0"/>
          <w:strike w:val="0"/>
          <w:u w:val="single"/>
        </w:rPr>
        <w:t xml:space="preserve"> these </w:t>
      </w:r>
      <w:r>
        <w:rPr>
          <w:b w:val="0"/>
          <w:i w:val="0"/>
          <w:smallCaps w:val="0"/>
          <w:strike w:val="0"/>
          <w:highlight w:val="cyan"/>
          <w:u w:val="single"/>
        </w:rPr>
        <w:t>empirical realitie</w:t>
      </w:r>
      <w:r>
        <w:rPr>
          <w:b w:val="0"/>
          <w:i w:val="0"/>
          <w:smallCaps w:val="0"/>
          <w:strike w:val="0"/>
          <w:u w:val="single"/>
        </w:rPr>
        <w:t xml:space="preserve">s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perfectly </w:t>
      </w:r>
      <w:r>
        <w:rPr>
          <w:b w:val="0"/>
          <w:i w:val="0"/>
          <w:smallCaps w:val="0"/>
          <w:strike w:val="0"/>
          <w:highlight w:val="cyan"/>
          <w:u w:val="single"/>
        </w:rPr>
        <w:t>consistent with</w:t>
      </w:r>
      <w:r>
        <w:rPr>
          <w:b w:val="0"/>
          <w:i w:val="0"/>
          <w:smallCaps w:val="0"/>
          <w:strike w:val="0"/>
          <w:u w:val="single"/>
        </w:rPr>
        <w:t xml:space="preserve"> accepting that one of the aims of </w:t>
      </w:r>
      <w:r>
        <w:rPr>
          <w:b w:val="0"/>
          <w:i w:val="0"/>
          <w:smallCaps w:val="0"/>
          <w:strike w:val="0"/>
          <w:highlight w:val="cyan"/>
          <w:u w:val="single"/>
        </w:rPr>
        <w:t>studying IR</w:t>
      </w:r>
      <w:r>
        <w:rPr>
          <w:b w:val="0"/>
          <w:i w:val="0"/>
          <w:smallCaps w:val="0"/>
          <w:strike w:val="0"/>
          <w:u w:val="single"/>
        </w:rPr>
        <w:t xml:space="preserve"> is </w:t>
      </w:r>
      <w:r>
        <w:rPr>
          <w:b w:val="0"/>
          <w:i w:val="0"/>
          <w:smallCaps w:val="0"/>
          <w:strike w:val="0"/>
          <w:highlight w:val="cyan"/>
          <w:u w:val="single"/>
        </w:rPr>
        <w:t>to challenge what is done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why, and </w:t>
      </w:r>
      <w:r>
        <w:rPr>
          <w:b w:val="0"/>
          <w:i w:val="0"/>
          <w:smallCaps w:val="0"/>
          <w:strike w:val="0"/>
          <w:highlight w:val="cyan"/>
          <w:u w:val="single"/>
        </w:rPr>
        <w:t>consider</w:t>
      </w:r>
      <w:r>
        <w:rPr>
          <w:b w:val="0"/>
          <w:i w:val="0"/>
          <w:smallCaps w:val="0"/>
          <w:strike w:val="0"/>
          <w:u w:val="single"/>
        </w:rPr>
        <w:t xml:space="preserve"> whether </w:t>
      </w:r>
      <w:r>
        <w:rPr>
          <w:b w:val="0"/>
          <w:i w:val="0"/>
          <w:smallCaps w:val="0"/>
          <w:strike w:val="0"/>
          <w:highlight w:val="cyan"/>
          <w:u w:val="single"/>
        </w:rPr>
        <w:t>different worlds</w:t>
      </w:r>
      <w:r>
        <w:rPr>
          <w:b w:val="0"/>
          <w:i w:val="0"/>
          <w:smallCaps w:val="0"/>
          <w:strike w:val="0"/>
          <w:u w:val="single"/>
        </w:rPr>
        <w:t xml:space="preserve"> are possible and desirable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Matters of continuity and change are always present in international relations. According to the ‘realist’ tradition (explained later), </w:t>
      </w:r>
      <w:r>
        <w:rPr>
          <w:b w:val="0"/>
          <w:i w:val="0"/>
          <w:smallCaps w:val="0"/>
          <w:strike w:val="0"/>
          <w:highlight w:val="cyan"/>
          <w:u w:val="single"/>
        </w:rPr>
        <w:t>the international</w:t>
      </w:r>
      <w:r>
        <w:rPr>
          <w:b w:val="0"/>
          <w:i w:val="0"/>
          <w:smallCaps w:val="0"/>
          <w:strike w:val="0"/>
          <w:u w:val="single"/>
        </w:rPr>
        <w:t xml:space="preserve"> level or </w:t>
      </w:r>
      <w:r>
        <w:rPr>
          <w:b w:val="0"/>
          <w:i w:val="0"/>
          <w:smallCaps w:val="0"/>
          <w:strike w:val="0"/>
          <w:highlight w:val="cyan"/>
          <w:u w:val="single"/>
        </w:rPr>
        <w:t>system has had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again in Waltz’s term, </w:t>
      </w:r>
      <w:r>
        <w:rPr>
          <w:b w:val="0"/>
          <w:i w:val="0"/>
          <w:smallCaps w:val="0"/>
          <w:strike w:val="0"/>
          <w:highlight w:val="cyan"/>
          <w:u w:val="single"/>
        </w:rPr>
        <w:t>a distinct ‘texture’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 persisting set of characteristics) over the centuries. </w:t>
      </w:r>
      <w:r>
        <w:rPr>
          <w:b w:val="0"/>
          <w:i w:val="0"/>
          <w:smallCaps w:val="0"/>
          <w:strike w:val="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single"/>
        </w:rPr>
        <w:t xml:space="preserve"> continuity </w:t>
      </w:r>
      <w:r>
        <w:rPr>
          <w:b w:val="0"/>
          <w:i w:val="0"/>
          <w:smallCaps w:val="0"/>
          <w:strike w:val="0"/>
          <w:highlight w:val="cyan"/>
          <w:u w:val="single"/>
        </w:rPr>
        <w:t>allows us to have a time-transcending understanding</w:t>
      </w:r>
      <w:r>
        <w:rPr>
          <w:b w:val="0"/>
          <w:i w:val="0"/>
          <w:smallCaps w:val="0"/>
          <w:strike w:val="0"/>
          <w:u w:val="single"/>
        </w:rPr>
        <w:t xml:space="preserve"> of the situations, dilemmas and crises faced by leaders and peoples in other places in other eras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Critics of this 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those dazzled by what’s new - </w:t>
      </w:r>
      <w:r>
        <w:rPr>
          <w:b w:val="0"/>
          <w:i w:val="0"/>
          <w:smallCaps w:val="0"/>
          <w:strike w:val="0"/>
          <w:u w:val="single"/>
        </w:rPr>
        <w:t xml:space="preserve">tend to argue that talk of ‘texture’ exaggerates continuity. </w:t>
      </w:r>
      <w:r>
        <w:rPr>
          <w:b/>
          <w:i w:val="0"/>
          <w:smallCaps w:val="0"/>
          <w:strike w:val="0"/>
          <w:sz w:val="24"/>
          <w:u w:val="single"/>
        </w:rPr>
        <w:t>This is mistaken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can be no doubt that we live in a new era when it comes to technology and its potential, for example, but have relations between political units fundamentally changed? </w:t>
      </w:r>
      <w:r>
        <w:rPr>
          <w:b w:val="0"/>
          <w:i w:val="0"/>
          <w:smallCaps w:val="0"/>
          <w:strike w:val="0"/>
          <w:u w:val="single"/>
        </w:rPr>
        <w:t xml:space="preserve">We cannot, and should not, assume that everything will always be the same, but </w:t>
      </w:r>
      <w:r>
        <w:rPr>
          <w:b/>
          <w:i w:val="0"/>
          <w:smallCaps w:val="0"/>
          <w:strike w:val="0"/>
          <w:sz w:val="24"/>
          <w:u w:val="single"/>
        </w:rPr>
        <w:t>it would be foolish to underestimate the stubborn continuities of state interactions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Kritik Answers Generic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