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Scenario analysis is necessary to </w:t>
      </w:r>
      <w:r>
        <w:rPr>
          <w:b/>
          <w:i w:val="0"/>
          <w:smallCaps w:val="0"/>
          <w:strike w:val="0"/>
          <w:sz w:val="26"/>
          <w:u w:val="single"/>
        </w:rPr>
        <w:t>bridge the gap</w:t>
      </w:r>
      <w:r>
        <w:rPr>
          <w:b/>
          <w:i w:val="0"/>
          <w:smallCaps w:val="0"/>
          <w:strike w:val="0"/>
          <w:sz w:val="26"/>
          <w:u w:val="none"/>
        </w:rPr>
        <w:t xml:space="preserve"> between the </w:t>
      </w:r>
      <w:r>
        <w:rPr>
          <w:b/>
          <w:i w:val="0"/>
          <w:smallCaps w:val="0"/>
          <w:strike w:val="0"/>
          <w:sz w:val="26"/>
          <w:u w:val="single"/>
        </w:rPr>
        <w:t>ivory tower</w:t>
      </w:r>
      <w:r>
        <w:rPr>
          <w:b/>
          <w:i w:val="0"/>
          <w:smallCaps w:val="0"/>
          <w:strike w:val="0"/>
          <w:sz w:val="26"/>
          <w:u w:val="none"/>
        </w:rPr>
        <w:t xml:space="preserve"> and </w:t>
      </w:r>
      <w:r>
        <w:rPr>
          <w:b/>
          <w:i w:val="0"/>
          <w:smallCaps w:val="0"/>
          <w:strike w:val="0"/>
          <w:sz w:val="26"/>
          <w:u w:val="single"/>
        </w:rPr>
        <w:t>pragmatism</w:t>
      </w:r>
      <w:r>
        <w:rPr>
          <w:b/>
          <w:i w:val="0"/>
          <w:smallCaps w:val="0"/>
          <w:strike w:val="0"/>
          <w:sz w:val="26"/>
          <w:u w:val="none"/>
        </w:rPr>
        <w:t xml:space="preserve">. Fiat avoids </w:t>
      </w:r>
      <w:r>
        <w:rPr>
          <w:b/>
          <w:i w:val="0"/>
          <w:smallCaps w:val="0"/>
          <w:strike w:val="0"/>
          <w:sz w:val="26"/>
          <w:u w:val="single"/>
        </w:rPr>
        <w:t>simple</w:t>
      </w:r>
      <w:r>
        <w:rPr>
          <w:b/>
          <w:i w:val="0"/>
          <w:smallCaps w:val="0"/>
          <w:strike w:val="0"/>
          <w:sz w:val="26"/>
          <w:u w:val="none"/>
        </w:rPr>
        <w:t xml:space="preserve">, </w:t>
      </w:r>
      <w:r>
        <w:rPr>
          <w:b/>
          <w:i w:val="0"/>
          <w:smallCaps w:val="0"/>
          <w:strike w:val="0"/>
          <w:sz w:val="26"/>
          <w:u w:val="single"/>
        </w:rPr>
        <w:t>linear</w:t>
      </w:r>
      <w:r>
        <w:rPr>
          <w:b/>
          <w:i w:val="0"/>
          <w:smallCaps w:val="0"/>
          <w:strike w:val="0"/>
          <w:sz w:val="26"/>
          <w:u w:val="none"/>
        </w:rPr>
        <w:t xml:space="preserve"> explanations, which is critical to </w:t>
      </w:r>
      <w:r>
        <w:rPr>
          <w:b/>
          <w:i w:val="0"/>
          <w:smallCaps w:val="0"/>
          <w:strike w:val="0"/>
          <w:sz w:val="26"/>
          <w:u w:val="single"/>
        </w:rPr>
        <w:t>tailor research</w:t>
      </w:r>
      <w:r>
        <w:rPr>
          <w:b/>
          <w:i w:val="0"/>
          <w:smallCaps w:val="0"/>
          <w:strike w:val="0"/>
          <w:sz w:val="26"/>
          <w:u w:val="none"/>
        </w:rPr>
        <w:t xml:space="preserve"> to </w:t>
      </w:r>
      <w:r>
        <w:rPr>
          <w:b/>
          <w:i w:val="0"/>
          <w:smallCaps w:val="0"/>
          <w:strike w:val="0"/>
          <w:sz w:val="26"/>
          <w:u w:val="single"/>
        </w:rPr>
        <w:t>policy-relevant</w:t>
      </w:r>
      <w:r>
        <w:rPr>
          <w:b/>
          <w:i w:val="0"/>
          <w:smallCaps w:val="0"/>
          <w:strike w:val="0"/>
          <w:sz w:val="26"/>
          <w:u w:val="none"/>
        </w:rPr>
        <w:t xml:space="preserve"> considerations.</w:t>
      </w:r>
    </w:p>
    <w:p>
      <w:pPr>
        <w:spacing w:after="80"/>
      </w:pPr>
      <w:r>
        <w:rPr>
          <w:b/>
          <w:i w:val="0"/>
          <w:smallCaps w:val="0"/>
          <w:strike w:val="0"/>
          <w:sz w:val="26"/>
          <w:u w:val="none"/>
        </w:rPr>
        <w:t>Sus 20</w:t>
      </w:r>
      <w:r>
        <w:rPr>
          <w:b w:val="0"/>
          <w:i w:val="0"/>
          <w:smallCaps w:val="0"/>
          <w:strike w:val="0"/>
          <w:sz w:val="26"/>
          <w:u w:val="none"/>
        </w:rPr>
        <w:t xml:space="preserve"> </w:t>
      </w:r>
      <w:r>
        <w:rPr>
          <w:b w:val="0"/>
          <w:i w:val="0"/>
          <w:smallCaps w:val="0"/>
          <w:strike w:val="0"/>
          <w:u w:val="none"/>
        </w:rPr>
        <w:t xml:space="preserve">[Monika Sus, senior researcher at the Hertie School's Centre for International Security and associate professor at the Polish Academy of Sciences, Marcel Hadeed, political scientist, 2020, “Theory-infused and policy-relevant: On the usefulness of scenario analysis for international relations”, </w:t>
      </w:r>
      <w:r>
        <w:rPr>
          <w:b w:val="0"/>
          <w:i w:val="0"/>
          <w:smallCaps w:val="0"/>
          <w:strike w:val="0"/>
          <w:u w:val="none"/>
        </w:rPr>
        <w:t>https://doi.org/10.1080/13523260.2020.1730055 ;</w:t>
      </w:r>
      <w:r>
        <w:rPr>
          <w:b w:val="0"/>
          <w:i w:val="0"/>
          <w:smallCaps w:val="0"/>
          <w:strike w:val="0"/>
          <w:u w:val="none"/>
        </w:rPr>
        <w:t xml:space="preserve"> 7/18 EB]</w:t>
      </w:r>
    </w:p>
    <w:p>
      <w:pPr>
        <w:spacing w:after="60"/>
      </w:pPr>
      <w:r>
        <w:rPr>
          <w:b w:val="0"/>
          <w:i w:val="0"/>
          <w:smallCaps w:val="0"/>
          <w:strike w:val="0"/>
          <w:sz w:val="16"/>
          <w:u w:val="none"/>
        </w:rPr>
        <w:t xml:space="preserve">As Tomé and </w:t>
      </w:r>
      <w:r>
        <w:rPr>
          <w:b w:val="0"/>
          <w:i w:val="0"/>
          <w:smallCaps w:val="0"/>
          <w:strike w:val="0"/>
          <w:sz w:val="16"/>
          <w:u w:val="none"/>
        </w:rPr>
        <w:t>Açıkalın</w:t>
      </w:r>
      <w:r>
        <w:rPr>
          <w:b w:val="0"/>
          <w:i w:val="0"/>
          <w:smallCaps w:val="0"/>
          <w:strike w:val="0"/>
          <w:sz w:val="16"/>
          <w:u w:val="none"/>
        </w:rPr>
        <w:t xml:space="preserve"> (2019) point out, </w:t>
      </w:r>
      <w:r>
        <w:rPr>
          <w:b w:val="0"/>
          <w:i w:val="0"/>
          <w:smallCaps w:val="0"/>
          <w:strike w:val="0"/>
          <w:u w:val="single"/>
        </w:rPr>
        <w:t>in order to fill the gap between IR theory and real-world problems, “an increasing number of scholars have come to embrace a spirit of intellectual openness, recognizing both the need for greater flexibility in the theoretical formulations and the possibility of complementarity by other theories and approaches</w:t>
      </w:r>
      <w:r>
        <w:rPr>
          <w:b w:val="0"/>
          <w:i w:val="0"/>
          <w:smallCaps w:val="0"/>
          <w:strike w:val="0"/>
          <w:sz w:val="16"/>
          <w:u w:val="none"/>
        </w:rPr>
        <w:t xml:space="preserve">” (p. 12). This section discusses the added value of scenario analysis as a complementary approach to traditional IR methods. </w:t>
      </w:r>
      <w:r>
        <w:rPr>
          <w:b/>
          <w:i w:val="0"/>
          <w:smallCaps w:val="0"/>
          <w:strike w:val="0"/>
          <w:sz w:val="24"/>
          <w:u w:val="single"/>
        </w:rPr>
        <w:t>The most obvious advantage of scenario analysis as a methodology, grounded in the reservoir of foresight studies, lies by definition in its ability to tackle future events</w:t>
      </w:r>
      <w:r>
        <w:rPr>
          <w:b w:val="0"/>
          <w:i w:val="0"/>
          <w:smallCaps w:val="0"/>
          <w:strike w:val="0"/>
          <w:sz w:val="16"/>
          <w:u w:val="none"/>
        </w:rPr>
        <w:t xml:space="preserve">. As </w:t>
      </w:r>
      <w:r>
        <w:rPr>
          <w:b w:val="0"/>
          <w:i w:val="0"/>
          <w:smallCaps w:val="0"/>
          <w:strike w:val="0"/>
          <w:u w:val="single"/>
        </w:rPr>
        <w:t>mentioned before, there are no specified instruments within traditional IR methods which would allow scholars to go beyond past and present</w:t>
      </w:r>
      <w:r>
        <w:rPr>
          <w:b w:val="0"/>
          <w:i w:val="0"/>
          <w:smallCaps w:val="0"/>
          <w:strike w:val="0"/>
          <w:sz w:val="16"/>
          <w:u w:val="none"/>
        </w:rPr>
        <w:t xml:space="preserve">. The only exception is forecasting, one of the formal methods in IR, which is, however, distinctly different from foresight.9 The underlying logic of forecasting is to provide predictions about the future by drawing on mathematical models and big data-sets based on known patterns. Thus, it is not particularly suitable to accommodate discontinuities. Foresight, as described above, aims at going beyond existing patterns by developing alternative futures based on an innovative combination of multiple driving forces. Its goal is to capture a set of possible futures and learn from them by examining the causal relations between driving forces and their different evolutions. </w:t>
      </w:r>
      <w:r>
        <w:rPr>
          <w:b w:val="0"/>
          <w:i w:val="0"/>
          <w:smallCaps w:val="0"/>
          <w:strike w:val="0"/>
          <w:u w:val="single"/>
        </w:rPr>
        <w:t>By applying scenario approaches, scholars can thus account for evolving dynamics and discuss such timely issues as the consequences of Brexit for both British and EU-security, economics and politics</w:t>
      </w:r>
      <w:r>
        <w:rPr>
          <w:b w:val="0"/>
          <w:i w:val="0"/>
          <w:smallCaps w:val="0"/>
          <w:strike w:val="0"/>
          <w:sz w:val="16"/>
          <w:u w:val="none"/>
        </w:rPr>
        <w:t xml:space="preserve"> (</w:t>
      </w:r>
      <w:r>
        <w:rPr>
          <w:b w:val="0"/>
          <w:i w:val="0"/>
          <w:smallCaps w:val="0"/>
          <w:strike w:val="0"/>
          <w:sz w:val="16"/>
          <w:u w:val="none"/>
        </w:rPr>
        <w:t>Brakman</w:t>
      </w:r>
      <w:r>
        <w:rPr>
          <w:b w:val="0"/>
          <w:i w:val="0"/>
          <w:smallCaps w:val="0"/>
          <w:strike w:val="0"/>
          <w:sz w:val="16"/>
          <w:u w:val="none"/>
        </w:rPr>
        <w:t xml:space="preserve">, </w:t>
      </w:r>
      <w:r>
        <w:rPr>
          <w:b w:val="0"/>
          <w:i w:val="0"/>
          <w:smallCaps w:val="0"/>
          <w:strike w:val="0"/>
          <w:sz w:val="16"/>
          <w:u w:val="none"/>
        </w:rPr>
        <w:t>Garretsen</w:t>
      </w:r>
      <w:r>
        <w:rPr>
          <w:b w:val="0"/>
          <w:i w:val="0"/>
          <w:smallCaps w:val="0"/>
          <w:strike w:val="0"/>
          <w:sz w:val="16"/>
          <w:u w:val="none"/>
        </w:rPr>
        <w:t xml:space="preserve">, &amp; Kohl, 2018; </w:t>
      </w:r>
      <w:r>
        <w:rPr>
          <w:b w:val="0"/>
          <w:i w:val="0"/>
          <w:smallCaps w:val="0"/>
          <w:strike w:val="0"/>
          <w:sz w:val="16"/>
          <w:u w:val="none"/>
        </w:rPr>
        <w:t>Martill</w:t>
      </w:r>
      <w:r>
        <w:rPr>
          <w:b w:val="0"/>
          <w:i w:val="0"/>
          <w:smallCaps w:val="0"/>
          <w:strike w:val="0"/>
          <w:sz w:val="16"/>
          <w:u w:val="none"/>
        </w:rPr>
        <w:t xml:space="preserve"> &amp; Sus, 2018; Musolff, 2017; Verschueren, 2017; Ziv et al., 2018). </w:t>
      </w:r>
      <w:r>
        <w:rPr>
          <w:b w:val="0"/>
          <w:i w:val="0"/>
          <w:smallCaps w:val="0"/>
          <w:strike w:val="0"/>
          <w:u w:val="single"/>
        </w:rPr>
        <w:t xml:space="preserve">Yet, </w:t>
      </w:r>
      <w:r>
        <w:rPr>
          <w:b/>
          <w:i w:val="0"/>
          <w:smallCaps w:val="0"/>
          <w:strike w:val="0"/>
          <w:sz w:val="24"/>
          <w:u w:val="single"/>
        </w:rPr>
        <w:t>scenario analysis offers more than the possibility to talk about the future</w:t>
      </w:r>
      <w:r>
        <w:rPr>
          <w:b w:val="0"/>
          <w:i w:val="0"/>
          <w:smallCaps w:val="0"/>
          <w:strike w:val="0"/>
          <w:sz w:val="16"/>
          <w:u w:val="none"/>
        </w:rPr>
        <w:t xml:space="preserve">. We see a fourfold merit of adding scenario analysis to the range of methods applied by IR scholars. Confronting enduring assumptions </w:t>
      </w:r>
      <w:r>
        <w:rPr>
          <w:b w:val="0"/>
          <w:i w:val="0"/>
          <w:smallCaps w:val="0"/>
          <w:strike w:val="0"/>
          <w:sz w:val="16"/>
          <w:u w:val="none"/>
        </w:rPr>
        <w:t>As</w:t>
      </w:r>
      <w:r>
        <w:rPr>
          <w:b w:val="0"/>
          <w:i w:val="0"/>
          <w:smallCaps w:val="0"/>
          <w:strike w:val="0"/>
          <w:sz w:val="16"/>
          <w:u w:val="none"/>
        </w:rPr>
        <w:t xml:space="preserve"> we presented in the previous section, </w:t>
      </w:r>
      <w:r>
        <w:rPr>
          <w:b w:val="0"/>
          <w:i w:val="0"/>
          <w:smallCaps w:val="0"/>
          <w:strike w:val="0"/>
          <w:u w:val="single"/>
        </w:rPr>
        <w:t xml:space="preserve">the main feature of explorative </w:t>
      </w:r>
      <w:r>
        <w:rPr>
          <w:b/>
          <w:i w:val="0"/>
          <w:smallCaps w:val="0"/>
          <w:strike w:val="0"/>
          <w:sz w:val="24"/>
          <w:u w:val="single"/>
        </w:rPr>
        <w:t>scenarios</w:t>
      </w:r>
      <w:r>
        <w:rPr>
          <w:b w:val="0"/>
          <w:i w:val="0"/>
          <w:smallCaps w:val="0"/>
          <w:strike w:val="0"/>
          <w:sz w:val="16"/>
          <w:u w:val="none"/>
        </w:rPr>
        <w:t xml:space="preserve">, which are the subject of this paper, </w:t>
      </w:r>
      <w:r>
        <w:rPr>
          <w:b w:val="0"/>
          <w:i w:val="0"/>
          <w:smallCaps w:val="0"/>
          <w:strike w:val="0"/>
          <w:u w:val="single"/>
        </w:rPr>
        <w:t xml:space="preserve">is to </w:t>
      </w:r>
      <w:r>
        <w:rPr>
          <w:b/>
          <w:i w:val="0"/>
          <w:smallCaps w:val="0"/>
          <w:strike w:val="0"/>
          <w:sz w:val="24"/>
          <w:u w:val="single"/>
        </w:rPr>
        <w:t>stimulate creative thinking by challenging the deeply held assumptions of their authors</w:t>
      </w:r>
      <w:r>
        <w:rPr>
          <w:b w:val="0"/>
          <w:i w:val="0"/>
          <w:smallCaps w:val="0"/>
          <w:strike w:val="0"/>
          <w:sz w:val="16"/>
          <w:u w:val="none"/>
        </w:rPr>
        <w:t xml:space="preserve">. In other words, </w:t>
      </w:r>
      <w:r>
        <w:rPr>
          <w:b w:val="0"/>
          <w:i w:val="0"/>
          <w:smallCaps w:val="0"/>
          <w:strike w:val="0"/>
          <w:u w:val="single"/>
        </w:rPr>
        <w:t>this method is helpful for overcoming enduring cognitive biases</w:t>
      </w:r>
      <w:r>
        <w:rPr>
          <w:b w:val="0"/>
          <w:i w:val="0"/>
          <w:smallCaps w:val="0"/>
          <w:strike w:val="0"/>
          <w:sz w:val="16"/>
          <w:u w:val="none"/>
        </w:rPr>
        <w:t>—</w:t>
      </w:r>
      <w:r>
        <w:rPr>
          <w:b w:val="0"/>
          <w:i w:val="0"/>
          <w:smallCaps w:val="0"/>
          <w:strike w:val="0"/>
          <w:u w:val="single"/>
        </w:rPr>
        <w:t>mental errors such as linearity, presentism, and group think caused by the subconscious and simplified information processing of humans</w:t>
      </w:r>
      <w:r>
        <w:rPr>
          <w:b w:val="0"/>
          <w:i w:val="0"/>
          <w:smallCaps w:val="0"/>
          <w:strike w:val="0"/>
          <w:sz w:val="16"/>
          <w:u w:val="none"/>
        </w:rPr>
        <w:t xml:space="preserve"> (Heuer, 1999, pp. 111– 112). Humans have the tendencies to focus on the present at the expense of the future and to think about the future in linear terms by extrapolating past trends into the future. As Gaddis (1992) points out, “we tend to bias our historical and our theoretical analyses too much toward continuity (…) we rarely find a way to introduce discontinuities into theory, or to attempt to determine what causes them to happen” (p. 52). Even if Gaddis does not explicitly mention scenarios, he refers to the concepts underlying scenario approaches (Han, 2011, p. 51). </w:t>
      </w:r>
      <w:r>
        <w:rPr>
          <w:b w:val="0"/>
          <w:i w:val="0"/>
          <w:smallCaps w:val="0"/>
          <w:strike w:val="0"/>
          <w:u w:val="single"/>
        </w:rPr>
        <w:t>Scenario analysis attends to “deeper, otherwise left implicit, assumptions about continuous and linear patterns of development</w:t>
      </w:r>
      <w:r>
        <w:rPr>
          <w:b w:val="0"/>
          <w:i w:val="0"/>
          <w:smallCaps w:val="0"/>
          <w:strike w:val="0"/>
          <w:sz w:val="16"/>
          <w:u w:val="none"/>
        </w:rPr>
        <w:t xml:space="preserve">” (Wilkinson et al., 2013, p. 707). </w:t>
      </w:r>
      <w:r>
        <w:rPr>
          <w:b w:val="0"/>
          <w:i w:val="0"/>
          <w:smallCaps w:val="0"/>
          <w:strike w:val="0"/>
          <w:u w:val="single"/>
        </w:rPr>
        <w:t xml:space="preserve">The process of scenario development invites the participants to reveal and question convictions which have so far remained unchallenged, and to question the linearity of world developments. The ability of reexamining one’s own assumptions and going beyond linear patterns of development is </w:t>
      </w:r>
      <w:r>
        <w:rPr>
          <w:b/>
          <w:i w:val="0"/>
          <w:smallCaps w:val="0"/>
          <w:strike w:val="0"/>
          <w:sz w:val="24"/>
          <w:u w:val="single"/>
        </w:rPr>
        <w:t>essential for IR scholarship</w:t>
      </w:r>
      <w:r>
        <w:rPr>
          <w:b w:val="0"/>
          <w:i w:val="0"/>
          <w:smallCaps w:val="0"/>
          <w:strike w:val="0"/>
          <w:sz w:val="16"/>
          <w:u w:val="none"/>
        </w:rPr>
        <w:t xml:space="preserve">. To illustrate it with two examples: IR scholars and historians did not think that the Soviet Union could collapse and were startled by its fall, the peaceful resolution of CONTEMPORARY SECURITY POLICY 445 the Cold War and the transformation of the bipolar system (Davis, 2005; Gaddis, 1992). In a similar vein, United States scholars were for decades so convinced of China’s economic, political, and cultural limitations that they neglected the possibility of its sudden ascent and were taken by surprise when it happened (Hundley, </w:t>
      </w:r>
      <w:r>
        <w:rPr>
          <w:b w:val="0"/>
          <w:i w:val="0"/>
          <w:smallCaps w:val="0"/>
          <w:strike w:val="0"/>
          <w:sz w:val="16"/>
          <w:u w:val="none"/>
        </w:rPr>
        <w:t>Kenzer</w:t>
      </w:r>
      <w:r>
        <w:rPr>
          <w:b w:val="0"/>
          <w:i w:val="0"/>
          <w:smallCaps w:val="0"/>
          <w:strike w:val="0"/>
          <w:sz w:val="16"/>
          <w:u w:val="none"/>
        </w:rPr>
        <w:t xml:space="preserve">, &amp; Peterson, 2015). Interestingly, since the rise of China became evident, the United States debate on its future has been marked by a similar linearity of thought, leading to single-outcome predictions of China’s long-term future (Kerbel, 2004). In both cases, the discipline proved incapable of anticipating events of such importance, because scholars took for granted the status quo instead of confronting their bias towards linearity and detect manifestations of upcoming change. As a result, two major geopolitical surprises—the end of the Cold War and the rise of China have at first been neglected, forcing academia to catch up. Against this backdrop, </w:t>
      </w:r>
      <w:r>
        <w:rPr>
          <w:b w:val="0"/>
          <w:i w:val="0"/>
          <w:smallCaps w:val="0"/>
          <w:strike w:val="0"/>
          <w:u w:val="single"/>
        </w:rPr>
        <w:t>foresight helps IR scholars to exit the tunnel vision on world affairs and discover potentially valuable nonlinear lines of development. These can be both innovative in terms of scholarship, and policy-relevant by offering a reflection on unexpected discontinuities</w:t>
      </w:r>
      <w:r>
        <w:rPr>
          <w:b w:val="0"/>
          <w:i w:val="0"/>
          <w:smallCaps w:val="0"/>
          <w:strike w:val="0"/>
          <w:sz w:val="16"/>
          <w:u w:val="none"/>
        </w:rPr>
        <w:t xml:space="preserve">. Thus, </w:t>
      </w:r>
      <w:r>
        <w:rPr>
          <w:b/>
          <w:i w:val="0"/>
          <w:smallCaps w:val="0"/>
          <w:strike w:val="0"/>
          <w:sz w:val="24"/>
          <w:u w:val="single"/>
        </w:rPr>
        <w:t>it can facilitate the intellectual capability to think the unthinkable</w:t>
      </w:r>
      <w:r>
        <w:rPr>
          <w:b w:val="0"/>
          <w:i w:val="0"/>
          <w:smallCaps w:val="0"/>
          <w:strike w:val="0"/>
          <w:sz w:val="16"/>
          <w:u w:val="none"/>
        </w:rPr>
        <w:t xml:space="preserve"> (Porter, 2016, p. 259). Bringing forward new research questions </w:t>
      </w:r>
      <w:r>
        <w:rPr>
          <w:b w:val="0"/>
          <w:i w:val="0"/>
          <w:smallCaps w:val="0"/>
          <w:strike w:val="0"/>
          <w:u w:val="single"/>
        </w:rPr>
        <w:t>Scenario analysis starts with confronting one’s enduring assumptions and developing multiple causal possibilities, through which scholars can potentially discover topics that have not been examined before. One of the greatest challenges for any scholar is to identify innovative venues for research that might bring the discipline forward and advance publicity for one’s work</w:t>
      </w:r>
      <w:r>
        <w:rPr>
          <w:b w:val="0"/>
          <w:i w:val="0"/>
          <w:smallCaps w:val="0"/>
          <w:strike w:val="0"/>
          <w:sz w:val="16"/>
          <w:u w:val="none"/>
        </w:rPr>
        <w:t xml:space="preserve">. In </w:t>
      </w:r>
      <w:r>
        <w:rPr>
          <w:b w:val="0"/>
          <w:i w:val="0"/>
          <w:smallCaps w:val="0"/>
          <w:strike w:val="0"/>
          <w:sz w:val="16"/>
          <w:u w:val="none"/>
        </w:rPr>
        <w:t>Lakatosian</w:t>
      </w:r>
      <w:r>
        <w:rPr>
          <w:b w:val="0"/>
          <w:i w:val="0"/>
          <w:smallCaps w:val="0"/>
          <w:strike w:val="0"/>
          <w:sz w:val="16"/>
          <w:u w:val="none"/>
        </w:rPr>
        <w:t xml:space="preserve"> terms, such an ability is often considered an evidence of a progressive research program.10 Since the prime feature of scenario analysis is to detect rapid and significant shifts in trajectories, or the forces behind them, this method succors when defining new pressing topics for academia. In particular, as mentioned in the previous section, </w:t>
      </w:r>
      <w:r>
        <w:rPr>
          <w:b w:val="0"/>
          <w:i w:val="0"/>
          <w:smallCaps w:val="0"/>
          <w:strike w:val="0"/>
          <w:u w:val="single"/>
        </w:rPr>
        <w:t>scenario analysis enables the detection of both weak signals and wild cards</w:t>
      </w:r>
      <w:r>
        <w:rPr>
          <w:b w:val="0"/>
          <w:i w:val="0"/>
          <w:smallCaps w:val="0"/>
          <w:strike w:val="0"/>
          <w:sz w:val="16"/>
          <w:u w:val="none"/>
        </w:rPr>
        <w:t xml:space="preserve">. By drawing attention to these hitherto overlooked but potentially pressing issues, scenario analysis can identify research agendas for further investigation (Barma et al., 2016). Therefore, </w:t>
      </w:r>
      <w:r>
        <w:rPr>
          <w:b w:val="0"/>
          <w:i w:val="0"/>
          <w:smallCaps w:val="0"/>
          <w:strike w:val="0"/>
          <w:u w:val="single"/>
        </w:rPr>
        <w:t>scenario analysis seems to be the right tool to advance innovative research since it helps scholars drive their research into new areas, away from moribund topics that have been followed for many decades</w:t>
      </w:r>
      <w:r>
        <w:rPr>
          <w:b w:val="0"/>
          <w:i w:val="0"/>
          <w:smallCaps w:val="0"/>
          <w:strike w:val="0"/>
          <w:sz w:val="16"/>
          <w:u w:val="none"/>
        </w:rPr>
        <w:t xml:space="preserve">. By “identifying questions of likely future significance” (Barma et al., 2016, p. 6), </w:t>
      </w:r>
      <w:r>
        <w:rPr>
          <w:b w:val="0"/>
          <w:i w:val="0"/>
          <w:smallCaps w:val="0"/>
          <w:strike w:val="0"/>
          <w:u w:val="single"/>
        </w:rPr>
        <w:t>scenario analysis can contribute to combatting the proliferation of researchers in fields occupying the political status quo</w:t>
      </w:r>
      <w:r>
        <w:rPr>
          <w:b w:val="0"/>
          <w:i w:val="0"/>
          <w:smallCaps w:val="0"/>
          <w:strike w:val="0"/>
          <w:sz w:val="16"/>
          <w:u w:val="none"/>
        </w:rPr>
        <w:t xml:space="preserve">, such as Soviet or Japan studies in the United States in the 1980s. At the same time, innovative research topics confront the uncertainties that are crucial for policymakers to be monitored closely. 446 M. SUS AND M. HADEED Dealing with the complexity and interdisciplinarity of real-world issues </w:t>
      </w:r>
      <w:r>
        <w:rPr>
          <w:b w:val="0"/>
          <w:i w:val="0"/>
          <w:smallCaps w:val="0"/>
          <w:strike w:val="0"/>
          <w:u w:val="single"/>
        </w:rPr>
        <w:t>Another added value of the scenario analysis for IR scholarship lies in its ability to provide comprehensive causal reasoning and thus to tackle complex issues</w:t>
      </w:r>
      <w:r>
        <w:rPr>
          <w:b w:val="0"/>
          <w:i w:val="0"/>
          <w:smallCaps w:val="0"/>
          <w:strike w:val="0"/>
          <w:sz w:val="16"/>
          <w:u w:val="none"/>
        </w:rPr>
        <w:t xml:space="preserve">. As mentioned in the introduction, </w:t>
      </w:r>
      <w:r>
        <w:rPr>
          <w:b w:val="0"/>
          <w:i w:val="0"/>
          <w:smallCaps w:val="0"/>
          <w:strike w:val="0"/>
          <w:u w:val="single"/>
        </w:rPr>
        <w:t>the world’s complexity combined with abrupt shifts poses a challenge for IR scholarship</w:t>
      </w:r>
      <w:r>
        <w:rPr>
          <w:b w:val="0"/>
          <w:i w:val="0"/>
          <w:smallCaps w:val="0"/>
          <w:strike w:val="0"/>
          <w:sz w:val="16"/>
          <w:u w:val="none"/>
        </w:rPr>
        <w:t xml:space="preserve">. The possibility to accommodate multiple driving forces, to take into account different values they might take and finally to combine them with each other and see how they affect the dependent variable, makes the scenario approach quite unique. Traditional IR methods work with a limited number of independent variables, formulate and test hypotheses usually based on the relation between a single causal variable and the dependent variable. Investigating complex causal trajectories is therefore not possible. Against this background, </w:t>
      </w:r>
      <w:r>
        <w:rPr>
          <w:b w:val="0"/>
          <w:i w:val="0"/>
          <w:smallCaps w:val="0"/>
          <w:strike w:val="0"/>
          <w:u w:val="single"/>
        </w:rPr>
        <w:t>we agree with Barma et al</w:t>
      </w:r>
      <w:r>
        <w:rPr>
          <w:b w:val="0"/>
          <w:i w:val="0"/>
          <w:smallCaps w:val="0"/>
          <w:strike w:val="0"/>
          <w:sz w:val="16"/>
          <w:u w:val="none"/>
        </w:rPr>
        <w:t xml:space="preserve">. (2016) </w:t>
      </w:r>
      <w:r>
        <w:rPr>
          <w:b w:val="0"/>
          <w:i w:val="0"/>
          <w:smallCaps w:val="0"/>
          <w:strike w:val="0"/>
          <w:u w:val="single"/>
        </w:rPr>
        <w:t>and his colleagues who argue that scenarios are highly apt for dealing with complexity and uncertainty and providing academia with a tool for “actionable clarity in understanding contemporary global issues</w:t>
      </w:r>
      <w:r>
        <w:rPr>
          <w:b w:val="0"/>
          <w:i w:val="0"/>
          <w:smallCaps w:val="0"/>
          <w:strike w:val="0"/>
          <w:sz w:val="16"/>
          <w:u w:val="none"/>
        </w:rPr>
        <w:t xml:space="preserve">” (p. 1). Moreover, </w:t>
      </w:r>
      <w:r>
        <w:rPr>
          <w:b w:val="0"/>
          <w:i w:val="0"/>
          <w:smallCaps w:val="0"/>
          <w:strike w:val="0"/>
          <w:u w:val="single"/>
        </w:rPr>
        <w:t>the scenario approach helps to tackle the challenges of interdisciplinarity that is tied to complexity</w:t>
      </w:r>
      <w:r>
        <w:rPr>
          <w:b w:val="0"/>
          <w:i w:val="0"/>
          <w:smallCaps w:val="0"/>
          <w:strike w:val="0"/>
          <w:sz w:val="16"/>
          <w:u w:val="none"/>
        </w:rPr>
        <w:t xml:space="preserve">. </w:t>
      </w:r>
      <w:r>
        <w:rPr>
          <w:b w:val="0"/>
          <w:i w:val="0"/>
          <w:smallCaps w:val="0"/>
          <w:strike w:val="0"/>
          <w:u w:val="single"/>
        </w:rPr>
        <w:t xml:space="preserve">By drawing on the active participation of people from different disciplines, backgrounds, and with different expertise in the scenario development process, </w:t>
      </w:r>
      <w:r>
        <w:rPr>
          <w:b/>
          <w:i w:val="0"/>
          <w:smallCaps w:val="0"/>
          <w:strike w:val="0"/>
          <w:sz w:val="24"/>
          <w:u w:val="single"/>
        </w:rPr>
        <w:t>it brings interdisciplinarity to the table by default</w:t>
      </w:r>
      <w:r>
        <w:rPr>
          <w:b w:val="0"/>
          <w:i w:val="0"/>
          <w:smallCaps w:val="0"/>
          <w:strike w:val="0"/>
          <w:sz w:val="16"/>
          <w:u w:val="none"/>
        </w:rPr>
        <w:t xml:space="preserve">. The key advantage of the approach is that this interdisciplinary conversation takes place prior to and during the research phase, rather than after it. This distinguishes the scenario approach from other methods that bring interdisciplinary perspectives together but do not facilitate a discussion between them, rather letting them passively co-exist. By exploring the dynamics between seemingly unrelated vectors of change (key drivers), scenario analysis can be useful for shedding light on developments that would have been overlooked by narrower research designs. </w:t>
      </w:r>
      <w:r>
        <w:rPr>
          <w:b w:val="0"/>
          <w:i w:val="0"/>
          <w:smallCaps w:val="0"/>
          <w:strike w:val="0"/>
          <w:u w:val="single"/>
        </w:rPr>
        <w:t>In security studies, for example, scenario analysis can connect the dots between hard, soft, traditional and non-traditional understandings of security and capture the interplay of economic-societal environmental and technological changes</w:t>
      </w:r>
      <w:r>
        <w:rPr>
          <w:b w:val="0"/>
          <w:i w:val="0"/>
          <w:smallCaps w:val="0"/>
          <w:strike w:val="0"/>
          <w:sz w:val="16"/>
          <w:u w:val="none"/>
        </w:rPr>
        <w:t>. Imposing interdisciplinarity also helps to counter the “hyper-fragmentation of knowledge” that “makes it difficult for even scholars in different disciplines to understand each other, much less policy-makers and general public” (Desch, 2015, p. 381). Complex real-world issues that were tackled using scenario analysis include the Israel-Palestine conflict (Stein et al., 1998), Turkey’s geopolitical environment (Çelik &amp; Blum, 2007), the prospects of the United States– China conflict (Friedberg, 2005) and the consequences of Brexit for EU foreign and security policy (</w:t>
      </w:r>
      <w:r>
        <w:rPr>
          <w:b w:val="0"/>
          <w:i w:val="0"/>
          <w:smallCaps w:val="0"/>
          <w:strike w:val="0"/>
          <w:sz w:val="16"/>
          <w:u w:val="none"/>
        </w:rPr>
        <w:t>Martill</w:t>
      </w:r>
      <w:r>
        <w:rPr>
          <w:b w:val="0"/>
          <w:i w:val="0"/>
          <w:smallCaps w:val="0"/>
          <w:strike w:val="0"/>
          <w:sz w:val="16"/>
          <w:u w:val="none"/>
        </w:rPr>
        <w:t xml:space="preserve"> &amp; Sus, 2018). An examination of these topics without the application of interdisciplinary approaches would not be possible precisely due to their multifaceted character. CONTEMPORARY SECURITY POLICY 447 Stepping out of the ivory tower Finally, </w:t>
      </w:r>
      <w:r>
        <w:rPr>
          <w:b/>
          <w:i w:val="0"/>
          <w:smallCaps w:val="0"/>
          <w:strike w:val="0"/>
          <w:sz w:val="24"/>
          <w:u w:val="single"/>
        </w:rPr>
        <w:t>scenario analysis also enables IR scholars to establish a channel of communication with policy-makers</w:t>
      </w:r>
      <w:r>
        <w:rPr>
          <w:b w:val="0"/>
          <w:i w:val="0"/>
          <w:smallCaps w:val="0"/>
          <w:strike w:val="0"/>
          <w:u w:val="single"/>
        </w:rPr>
        <w:t xml:space="preserve"> other than conducting interviews for their own research or providing ad-hoc consultations</w:t>
      </w:r>
      <w:r>
        <w:rPr>
          <w:b w:val="0"/>
          <w:i w:val="0"/>
          <w:smallCaps w:val="0"/>
          <w:strike w:val="0"/>
          <w:sz w:val="16"/>
          <w:u w:val="none"/>
        </w:rPr>
        <w:t xml:space="preserve">. A participatory scenario process forges “deep and shared understanding between its participants” (Ramírez &amp; Wilkinson, 2016, p. 21). In scenario workshops, </w:t>
      </w:r>
      <w:r>
        <w:rPr>
          <w:b w:val="0"/>
          <w:i w:val="0"/>
          <w:smallCaps w:val="0"/>
          <w:strike w:val="0"/>
          <w:u w:val="single"/>
        </w:rPr>
        <w:t>academics and policy-makers work together, confront their world visions and assumptions and arrive at an agreement upon which they develop narratives for alternative futures</w:t>
      </w:r>
      <w:r>
        <w:rPr>
          <w:b w:val="0"/>
          <w:i w:val="0"/>
          <w:smallCaps w:val="0"/>
          <w:strike w:val="0"/>
          <w:sz w:val="16"/>
          <w:u w:val="none"/>
        </w:rPr>
        <w:t xml:space="preserve">. Hence, </w:t>
      </w:r>
      <w:r>
        <w:rPr>
          <w:b w:val="0"/>
          <w:i w:val="0"/>
          <w:smallCaps w:val="0"/>
          <w:strike w:val="0"/>
          <w:u w:val="single"/>
        </w:rPr>
        <w:t>scenario analysis can be perceived as a tool towards more exchange between academia and policy-making that can contribute to a better understanding between the two worlds. For policymakers, it provides the opportunity to consider long-term trends</w:t>
      </w:r>
      <w:r>
        <w:rPr>
          <w:b w:val="0"/>
          <w:i w:val="0"/>
          <w:smallCaps w:val="0"/>
          <w:strike w:val="0"/>
          <w:sz w:val="16"/>
          <w:u w:val="none"/>
        </w:rPr>
        <w:t xml:space="preserve"> (an occasion not often found in the day-to-day nature of politics). For academics, it provides insight into which trends are most concerning for policy-makers, allowing them to check and ultimately enhance the relevance of their research agendas. We acknowledge the difficulty to engage policy-makers in foresight exercises caused by their time-constrains and possible lack of interest. Yet, in our experience, this problem mostly refers to high-level policy-makers. Mid-level and former officials and policy-makers have more time and willingness to participate in foresight exercises and contribute equally valuable perspectives. The participatory character of foresight exercises facilitates the exchange of views from different stakeholders on an equal level. In our case, as the evaluation has shown, it has proven to be stimulating for each of the engaged groups. Moreover, the policy dialogue benefits from scenarios’ accessibility to a broader audience. Scenario publications tend to be shorter and easier to read than the average academic publication and as Nye (2008) rightly notes “a premium on time is a major difference between the two cultures” of academia and policy-making. Since scenario publications are more suitable to the time- and attention-constraints of many policy-makers, they improve the accessibility of research findings for the policy world (Cairney &amp; Kwiatkowski, 2017). An illustrative example is offered by a foresight exercise conducted by the Aspen Institute Berlin in 2017. A group of academics, think tank experts and policy-makers developed scenarios on the future of the liberal world order that served as raw material for a newspaper from the future titled “The Aspen Insight” and dated October 21, 2025. Not only did the presentation of the newspaper catch the attention of many Berlin-based policy-makers but the “The Aspen Insight” was also attached as a supplement to the Berlin daily </w:t>
      </w:r>
      <w:r>
        <w:rPr>
          <w:b w:val="0"/>
          <w:i w:val="0"/>
          <w:smallCaps w:val="0"/>
          <w:strike w:val="0"/>
          <w:sz w:val="16"/>
          <w:u w:val="none"/>
        </w:rPr>
        <w:t>Tagesspiegel</w:t>
      </w:r>
      <w:r>
        <w:rPr>
          <w:b w:val="0"/>
          <w:i w:val="0"/>
          <w:smallCaps w:val="0"/>
          <w:strike w:val="0"/>
          <w:sz w:val="16"/>
          <w:u w:val="none"/>
        </w:rPr>
        <w:t>, and reached more than 300,000 readers.11 We acknowledge that the four aspects of the added value of scenario analysis for IR scholarship are interrelated and that their boundaries are not clear448 M. SUS AND M. HADEED cut. Yet, we believe, they highlight distinct benefits of this approach for academics that want to tackle the challenges of today’s world via their research.</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