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2"/>
          <w:u w:val="single"/>
        </w:rPr>
        <w:br/>
      </w:r>
      <w:r>
        <w:rPr>
          <w:b/>
          <w:i w:val="0"/>
          <w:smallCaps w:val="0"/>
          <w:strike w:val="0"/>
          <w:sz w:val="26"/>
          <w:u w:val="none"/>
        </w:rPr>
        <w:t>Queer Theory positions women and feminity in a negative position as the “other”</w:t>
      </w:r>
    </w:p>
    <w:p>
      <w:pPr>
        <w:spacing w:after="80"/>
      </w:pPr>
      <w:r>
        <w:rPr>
          <w:b w:val="0"/>
          <w:i w:val="0"/>
          <w:smallCaps w:val="0"/>
          <w:strike w:val="0"/>
          <w:u w:val="none"/>
        </w:rPr>
        <w:t xml:space="preserve">Susan </w:t>
      </w:r>
      <w:r>
        <w:rPr>
          <w:b/>
          <w:i w:val="0"/>
          <w:smallCaps w:val="0"/>
          <w:strike w:val="0"/>
          <w:sz w:val="26"/>
          <w:u w:val="none"/>
        </w:rPr>
        <w:t>Fraiman 03</w:t>
      </w:r>
      <w:r>
        <w:rPr>
          <w:b w:val="0"/>
          <w:i w:val="0"/>
          <w:smallCaps w:val="0"/>
          <w:strike w:val="0"/>
          <w:u w:val="none"/>
        </w:rPr>
        <w:t>, Fraiman is a professor of English at the University of Virginia, Columbia University Press, “Cool Men and the Second Sex”, 2003, https://ebookcentral-proquest-com.proxy.lib.umich.edu/lib/umichigan/reader.action?docID=909094</w:t>
      </w:r>
    </w:p>
    <w:p>
      <w:pPr>
        <w:spacing w:after="60"/>
      </w:pPr>
      <w:r>
        <w:rPr>
          <w:b/>
          <w:i w:val="0"/>
          <w:smallCaps w:val="0"/>
          <w:strike w:val="0"/>
          <w:sz w:val="22"/>
          <w:u w:val="single"/>
        </w:rPr>
        <w:t xml:space="preserve">There are, then, three senses in which </w:t>
      </w:r>
      <w:r>
        <w:rPr>
          <w:b/>
          <w:i w:val="0"/>
          <w:smallCaps w:val="0"/>
          <w:strike w:val="0"/>
          <w:sz w:val="22"/>
          <w:highlight w:val="cyan"/>
          <w:u w:val="single"/>
        </w:rPr>
        <w:t>queer theory</w:t>
      </w:r>
      <w:r>
        <w:rPr>
          <w:b/>
          <w:i w:val="0"/>
          <w:smallCaps w:val="0"/>
          <w:strike w:val="0"/>
          <w:sz w:val="22"/>
          <w:u w:val="single"/>
        </w:rPr>
        <w:t xml:space="preserve"> may be </w:t>
      </w:r>
      <w:r>
        <w:rPr>
          <w:b/>
          <w:i w:val="0"/>
          <w:smallCaps w:val="0"/>
          <w:strike w:val="0"/>
          <w:sz w:val="22"/>
          <w:highlight w:val="cyan"/>
          <w:u w:val="single"/>
        </w:rPr>
        <w:t>problematic from</w:t>
      </w:r>
      <w:r>
        <w:rPr>
          <w:b/>
          <w:i w:val="0"/>
          <w:smallCaps w:val="0"/>
          <w:strike w:val="0"/>
          <w:sz w:val="22"/>
          <w:u w:val="single"/>
        </w:rPr>
        <w:t xml:space="preserve"> a </w:t>
      </w:r>
      <w:r>
        <w:rPr>
          <w:b/>
          <w:i w:val="0"/>
          <w:smallCaps w:val="0"/>
          <w:strike w:val="0"/>
          <w:sz w:val="22"/>
          <w:highlight w:val="cyan"/>
          <w:u w:val="single"/>
        </w:rPr>
        <w:t>feminist</w:t>
      </w:r>
      <w:r>
        <w:rPr>
          <w:b/>
          <w:i w:val="0"/>
          <w:smallCaps w:val="0"/>
          <w:strike w:val="0"/>
          <w:sz w:val="22"/>
          <w:u w:val="single"/>
        </w:rPr>
        <w:t xml:space="preserve"> point of </w:t>
      </w:r>
      <w:r>
        <w:rPr>
          <w:b/>
          <w:i w:val="0"/>
          <w:smallCaps w:val="0"/>
          <w:strike w:val="0"/>
          <w:sz w:val="22"/>
          <w:highlight w:val="cyan"/>
          <w:u w:val="single"/>
        </w:rPr>
        <w:t>view</w:t>
      </w:r>
      <w:r>
        <w:rPr>
          <w:b/>
          <w:i w:val="0"/>
          <w:smallCaps w:val="0"/>
          <w:strike w:val="0"/>
          <w:sz w:val="22"/>
          <w:u w:val="single"/>
        </w:rPr>
        <w:t>.</w:t>
      </w:r>
      <w:r>
        <w:rPr>
          <w:b w:val="0"/>
          <w:i w:val="0"/>
          <w:smallCaps w:val="0"/>
          <w:strike w:val="0"/>
          <w:u w:val="none"/>
        </w:rPr>
        <w:t xml:space="preserve"> </w:t>
      </w:r>
      <w:r>
        <w:rPr>
          <w:b w:val="0"/>
          <w:i w:val="0"/>
          <w:smallCaps w:val="0"/>
          <w:strike w:val="0"/>
          <w:sz w:val="16"/>
          <w:u w:val="none"/>
        </w:rPr>
        <w:t>First, it is sometimes a study of men to which women are appended as an afterthought</w:t>
      </w:r>
      <w:r>
        <w:rPr>
          <w:b w:val="0"/>
          <w:i w:val="0"/>
          <w:smallCaps w:val="0"/>
          <w:strike w:val="0"/>
          <w:u w:val="none"/>
        </w:rPr>
        <w:t xml:space="preserve">. </w:t>
      </w:r>
      <w:r>
        <w:rPr>
          <w:b/>
          <w:i w:val="0"/>
          <w:smallCaps w:val="0"/>
          <w:strike w:val="0"/>
          <w:sz w:val="22"/>
          <w:u w:val="single"/>
        </w:rPr>
        <w:t xml:space="preserve">In this mode, it may slip from seemingly neutral uses of the </w:t>
      </w:r>
      <w:r>
        <w:rPr>
          <w:b/>
          <w:i w:val="0"/>
          <w:smallCaps w:val="0"/>
          <w:strike w:val="0"/>
          <w:sz w:val="22"/>
          <w:highlight w:val="cyan"/>
          <w:u w:val="single"/>
        </w:rPr>
        <w:t>terms</w:t>
      </w:r>
      <w:r>
        <w:rPr>
          <w:b/>
          <w:i w:val="0"/>
          <w:smallCaps w:val="0"/>
          <w:strike w:val="0"/>
          <w:sz w:val="22"/>
          <w:u w:val="single"/>
        </w:rPr>
        <w:t xml:space="preserve"> “</w:t>
      </w:r>
      <w:r>
        <w:rPr>
          <w:b/>
          <w:i w:val="0"/>
          <w:smallCaps w:val="0"/>
          <w:strike w:val="0"/>
          <w:sz w:val="22"/>
          <w:highlight w:val="cyan"/>
          <w:u w:val="single"/>
        </w:rPr>
        <w:t>queer</w:t>
      </w:r>
      <w:r>
        <w:rPr>
          <w:b/>
          <w:i w:val="0"/>
          <w:smallCaps w:val="0"/>
          <w:strike w:val="0"/>
          <w:sz w:val="22"/>
          <w:u w:val="single"/>
        </w:rPr>
        <w:t xml:space="preserve">” </w:t>
      </w:r>
      <w:r>
        <w:rPr>
          <w:b/>
          <w:i w:val="0"/>
          <w:smallCaps w:val="0"/>
          <w:strike w:val="0"/>
          <w:sz w:val="22"/>
          <w:highlight w:val="cyan"/>
          <w:u w:val="single"/>
        </w:rPr>
        <w:t>or</w:t>
      </w:r>
      <w:r>
        <w:rPr>
          <w:b/>
          <w:i w:val="0"/>
          <w:smallCaps w:val="0"/>
          <w:strike w:val="0"/>
          <w:sz w:val="22"/>
          <w:u w:val="single"/>
        </w:rPr>
        <w:t xml:space="preserve"> “</w:t>
      </w:r>
      <w:r>
        <w:rPr>
          <w:b/>
          <w:i w:val="0"/>
          <w:smallCaps w:val="0"/>
          <w:strike w:val="0"/>
          <w:sz w:val="22"/>
          <w:highlight w:val="cyan"/>
          <w:u w:val="single"/>
        </w:rPr>
        <w:t>homosexual</w:t>
      </w:r>
      <w:r>
        <w:rPr>
          <w:b/>
          <w:i w:val="0"/>
          <w:smallCaps w:val="0"/>
          <w:strike w:val="0"/>
          <w:sz w:val="22"/>
          <w:u w:val="single"/>
        </w:rPr>
        <w:t xml:space="preserve">” to what is then revealed to be male sexuality in particular, only to move back out to ostensibly universal claims, which </w:t>
      </w:r>
      <w:r>
        <w:rPr>
          <w:b/>
          <w:i w:val="0"/>
          <w:smallCaps w:val="0"/>
          <w:strike w:val="0"/>
          <w:sz w:val="22"/>
          <w:highlight w:val="cyan"/>
          <w:u w:val="single"/>
        </w:rPr>
        <w:t>remain underwritten by masculinity</w:t>
      </w:r>
      <w:r>
        <w:rPr>
          <w:b/>
          <w:i w:val="0"/>
          <w:smallCaps w:val="0"/>
          <w:strike w:val="0"/>
          <w:sz w:val="22"/>
          <w:u w:val="single"/>
        </w:rPr>
        <w:t xml:space="preserve">. Second, it </w:t>
      </w:r>
      <w:r>
        <w:rPr>
          <w:b/>
          <w:i w:val="0"/>
          <w:smallCaps w:val="0"/>
          <w:strike w:val="0"/>
          <w:sz w:val="22"/>
          <w:highlight w:val="cyan"/>
          <w:u w:val="single"/>
        </w:rPr>
        <w:t>favors a poststructuralism</w:t>
      </w:r>
      <w:r>
        <w:rPr>
          <w:b/>
          <w:i w:val="0"/>
          <w:smallCaps w:val="0"/>
          <w:strike w:val="0"/>
          <w:sz w:val="22"/>
          <w:u w:val="single"/>
        </w:rPr>
        <w:t xml:space="preserve"> so thorough and enthusiastic that the </w:t>
      </w:r>
      <w:r>
        <w:rPr>
          <w:b/>
          <w:i w:val="0"/>
          <w:smallCaps w:val="0"/>
          <w:strike w:val="0"/>
          <w:sz w:val="22"/>
          <w:highlight w:val="cyan"/>
          <w:u w:val="single"/>
        </w:rPr>
        <w:t>hardening</w:t>
      </w:r>
      <w:r>
        <w:rPr>
          <w:b/>
          <w:i w:val="0"/>
          <w:smallCaps w:val="0"/>
          <w:strike w:val="0"/>
          <w:sz w:val="22"/>
          <w:u w:val="single"/>
        </w:rPr>
        <w:t xml:space="preserve"> of </w:t>
      </w:r>
      <w:r>
        <w:rPr>
          <w:b/>
          <w:i w:val="0"/>
          <w:smallCaps w:val="0"/>
          <w:strike w:val="0"/>
          <w:sz w:val="22"/>
          <w:highlight w:val="cyan"/>
          <w:u w:val="single"/>
        </w:rPr>
        <w:t>gender</w:t>
      </w:r>
      <w:r>
        <w:rPr>
          <w:b/>
          <w:i w:val="0"/>
          <w:smallCaps w:val="0"/>
          <w:strike w:val="0"/>
          <w:sz w:val="22"/>
          <w:u w:val="single"/>
        </w:rPr>
        <w:t xml:space="preserve"> </w:t>
      </w:r>
      <w:r>
        <w:rPr>
          <w:b/>
          <w:i w:val="0"/>
          <w:smallCaps w:val="0"/>
          <w:strike w:val="0"/>
          <w:sz w:val="22"/>
          <w:highlight w:val="cyan"/>
          <w:u w:val="single"/>
        </w:rPr>
        <w:t>over time</w:t>
      </w:r>
      <w:r>
        <w:rPr>
          <w:b/>
          <w:i w:val="0"/>
          <w:smallCaps w:val="0"/>
          <w:strike w:val="0"/>
          <w:sz w:val="22"/>
          <w:u w:val="single"/>
        </w:rPr>
        <w:t xml:space="preserve">, the way its masquerades tend to calcify and continue to matter even in queer contexts, is effectively wished away. Third and most subtly, it tends </w:t>
      </w:r>
      <w:r>
        <w:rPr>
          <w:b/>
          <w:i w:val="0"/>
          <w:smallCaps w:val="0"/>
          <w:strike w:val="0"/>
          <w:sz w:val="22"/>
          <w:highlight w:val="cyan"/>
          <w:u w:val="single"/>
        </w:rPr>
        <w:t>unconsciously to position women</w:t>
      </w:r>
      <w:r>
        <w:rPr>
          <w:b/>
          <w:i w:val="0"/>
          <w:smallCaps w:val="0"/>
          <w:strike w:val="0"/>
          <w:sz w:val="22"/>
          <w:u w:val="single"/>
        </w:rPr>
        <w:t xml:space="preserve">, gender, </w:t>
      </w:r>
      <w:r>
        <w:rPr>
          <w:b/>
          <w:i w:val="0"/>
          <w:smallCaps w:val="0"/>
          <w:strike w:val="0"/>
          <w:sz w:val="22"/>
          <w:highlight w:val="cyan"/>
          <w:u w:val="single"/>
        </w:rPr>
        <w:t>femininity</w:t>
      </w:r>
      <w:r>
        <w:rPr>
          <w:b/>
          <w:i w:val="0"/>
          <w:smallCaps w:val="0"/>
          <w:strike w:val="0"/>
          <w:sz w:val="22"/>
          <w:u w:val="single"/>
        </w:rPr>
        <w:t xml:space="preserve">, </w:t>
      </w:r>
      <w:r>
        <w:rPr>
          <w:b/>
          <w:i w:val="0"/>
          <w:smallCaps w:val="0"/>
          <w:strike w:val="0"/>
          <w:sz w:val="22"/>
          <w:highlight w:val="cyan"/>
          <w:u w:val="single"/>
        </w:rPr>
        <w:t>and feminism</w:t>
      </w:r>
      <w:r>
        <w:rPr>
          <w:b/>
          <w:i w:val="0"/>
          <w:smallCaps w:val="0"/>
          <w:strike w:val="0"/>
          <w:sz w:val="22"/>
          <w:u w:val="single"/>
        </w:rPr>
        <w:t xml:space="preserve"> </w:t>
      </w:r>
      <w:r>
        <w:rPr>
          <w:b/>
          <w:i w:val="0"/>
          <w:smallCaps w:val="0"/>
          <w:strike w:val="0"/>
          <w:sz w:val="22"/>
          <w:highlight w:val="cyan"/>
          <w:u w:val="single"/>
        </w:rPr>
        <w:t>as</w:t>
      </w:r>
      <w:r>
        <w:rPr>
          <w:b/>
          <w:i w:val="0"/>
          <w:smallCaps w:val="0"/>
          <w:strike w:val="0"/>
          <w:sz w:val="22"/>
          <w:u w:val="single"/>
        </w:rPr>
        <w:t xml:space="preserve"> normative “</w:t>
      </w:r>
      <w:r>
        <w:rPr>
          <w:b/>
          <w:i w:val="0"/>
          <w:smallCaps w:val="0"/>
          <w:strike w:val="0"/>
          <w:sz w:val="22"/>
          <w:highlight w:val="cyan"/>
          <w:u w:val="single"/>
        </w:rPr>
        <w:t>other</w:t>
      </w:r>
      <w:r>
        <w:rPr>
          <w:b/>
          <w:i w:val="0"/>
          <w:smallCaps w:val="0"/>
          <w:strike w:val="0"/>
          <w:sz w:val="22"/>
          <w:u w:val="single"/>
        </w:rPr>
        <w:t xml:space="preserve">” to its antinormative project— and this may occur even when its project centers on female subjectivity— with the result that its own </w:t>
      </w:r>
      <w:r>
        <w:rPr>
          <w:b/>
          <w:i w:val="0"/>
          <w:smallCaps w:val="0"/>
          <w:strike w:val="0"/>
          <w:sz w:val="22"/>
          <w:u w:val="single"/>
        </w:rPr>
        <w:t>gender</w:t>
      </w:r>
      <w:r>
        <w:rPr>
          <w:b/>
          <w:i w:val="0"/>
          <w:smallCaps w:val="0"/>
          <w:strike w:val="0"/>
          <w:sz w:val="22"/>
          <w:u w:val="single"/>
        </w:rPr>
        <w:t xml:space="preserve"> codings may be quite conventional.</w:t>
      </w:r>
    </w:p>
    <w:p>
      <w:pPr>
        <w:spacing w:after="60"/>
      </w:pPr>
      <w:r>
        <w:rPr>
          <w:b w:val="0"/>
          <w:i w:val="0"/>
          <w:smallCaps w:val="0"/>
          <w:strike w:val="0"/>
          <w:sz w:val="16"/>
          <w:u w:val="none"/>
        </w:rPr>
        <w:t xml:space="preserve">A central goal of this chapter is to press further on Martin’s suggestion that the feminine and feminist are at moments relegated by queer theory to an ensnared and ensnaring “swamp,” and that this swamp is somehow “maternal.” </w:t>
      </w:r>
      <w:r>
        <w:rPr>
          <w:b/>
          <w:i w:val="0"/>
          <w:smallCaps w:val="0"/>
          <w:strike w:val="0"/>
          <w:sz w:val="22"/>
          <w:u w:val="single"/>
        </w:rPr>
        <w:t xml:space="preserve">In fact, I argue that </w:t>
      </w:r>
      <w:r>
        <w:rPr>
          <w:b/>
          <w:i w:val="0"/>
          <w:smallCaps w:val="0"/>
          <w:strike w:val="0"/>
          <w:sz w:val="22"/>
          <w:highlight w:val="cyan"/>
          <w:u w:val="single"/>
        </w:rPr>
        <w:t>when women occupy the place of “other” within queer discourse</w:t>
      </w:r>
      <w:r>
        <w:rPr>
          <w:b/>
          <w:i w:val="0"/>
          <w:smallCaps w:val="0"/>
          <w:strike w:val="0"/>
          <w:sz w:val="22"/>
          <w:u w:val="single"/>
        </w:rPr>
        <w:t xml:space="preserve"> it is frequently </w:t>
      </w:r>
      <w:r>
        <w:rPr>
          <w:b/>
          <w:i w:val="0"/>
          <w:smallCaps w:val="0"/>
          <w:strike w:val="0"/>
          <w:sz w:val="22"/>
          <w:highlight w:val="cyan"/>
          <w:u w:val="single"/>
        </w:rPr>
        <w:t>because they occupy</w:t>
      </w:r>
      <w:r>
        <w:rPr>
          <w:b/>
          <w:i w:val="0"/>
          <w:smallCaps w:val="0"/>
          <w:strike w:val="0"/>
          <w:sz w:val="22"/>
          <w:u w:val="single"/>
        </w:rPr>
        <w:t xml:space="preserve"> the </w:t>
      </w:r>
      <w:r>
        <w:rPr>
          <w:b/>
          <w:i w:val="0"/>
          <w:smallCaps w:val="0"/>
          <w:strike w:val="0"/>
          <w:sz w:val="22"/>
          <w:highlight w:val="cyan"/>
          <w:u w:val="single"/>
        </w:rPr>
        <w:t>place of “mother”;</w:t>
      </w:r>
      <w:r>
        <w:rPr>
          <w:b/>
          <w:i w:val="0"/>
          <w:smallCaps w:val="0"/>
          <w:strike w:val="0"/>
          <w:sz w:val="22"/>
          <w:u w:val="single"/>
        </w:rPr>
        <w:t xml:space="preserve"> and because “mother,” </w:t>
      </w:r>
      <w:r>
        <w:rPr>
          <w:b/>
          <w:i w:val="0"/>
          <w:smallCaps w:val="0"/>
          <w:strike w:val="0"/>
          <w:sz w:val="22"/>
          <w:highlight w:val="cyan"/>
          <w:u w:val="single"/>
        </w:rPr>
        <w:t>in turn</w:t>
      </w:r>
      <w:r>
        <w:rPr>
          <w:b/>
          <w:i w:val="0"/>
          <w:smallCaps w:val="0"/>
          <w:strike w:val="0"/>
          <w:sz w:val="22"/>
          <w:u w:val="single"/>
        </w:rPr>
        <w:t xml:space="preserve">, is </w:t>
      </w:r>
      <w:r>
        <w:rPr>
          <w:b/>
          <w:i w:val="0"/>
          <w:smallCaps w:val="0"/>
          <w:strike w:val="0"/>
          <w:sz w:val="22"/>
          <w:highlight w:val="cyan"/>
          <w:u w:val="single"/>
        </w:rPr>
        <w:t>reduced to</w:t>
      </w:r>
      <w:r>
        <w:rPr>
          <w:b/>
          <w:i w:val="0"/>
          <w:smallCaps w:val="0"/>
          <w:strike w:val="0"/>
          <w:sz w:val="22"/>
          <w:u w:val="single"/>
        </w:rPr>
        <w:t xml:space="preserve"> biology, </w:t>
      </w:r>
      <w:r>
        <w:rPr>
          <w:b/>
          <w:i w:val="0"/>
          <w:smallCaps w:val="0"/>
          <w:strike w:val="0"/>
          <w:sz w:val="22"/>
          <w:highlight w:val="cyan"/>
          <w:u w:val="single"/>
        </w:rPr>
        <w:t>heterosexuality,</w:t>
      </w:r>
      <w:r>
        <w:rPr>
          <w:b/>
          <w:i w:val="0"/>
          <w:smallCaps w:val="0"/>
          <w:strike w:val="0"/>
          <w:sz w:val="22"/>
          <w:u w:val="single"/>
        </w:rPr>
        <w:t xml:space="preserve"> traditional family, </w:t>
      </w:r>
      <w:r>
        <w:rPr>
          <w:b/>
          <w:i w:val="0"/>
          <w:smallCaps w:val="0"/>
          <w:strike w:val="0"/>
          <w:sz w:val="22"/>
          <w:highlight w:val="cyan"/>
          <w:u w:val="single"/>
        </w:rPr>
        <w:t>coercive normativity</w:t>
      </w:r>
      <w:r>
        <w:rPr>
          <w:b/>
          <w:i w:val="0"/>
          <w:smallCaps w:val="0"/>
          <w:strike w:val="0"/>
          <w:sz w:val="22"/>
          <w:u w:val="single"/>
        </w:rPr>
        <w:t>.</w:t>
      </w:r>
      <w:r>
        <w:rPr>
          <w:b w:val="0"/>
          <w:i w:val="0"/>
          <w:smallCaps w:val="0"/>
          <w:strike w:val="0"/>
          <w:u w:val="none"/>
        </w:rPr>
        <w:t xml:space="preserve"> </w:t>
      </w:r>
      <w:r>
        <w:rPr>
          <w:b w:val="0"/>
          <w:i w:val="0"/>
          <w:smallCaps w:val="0"/>
          <w:strike w:val="0"/>
          <w:sz w:val="16"/>
          <w:u w:val="none"/>
        </w:rPr>
        <w:t xml:space="preserve">Cherrié Moraga’s book claiming queer motherhood is one of several recent challenges to just this set of assumptions. </w:t>
      </w:r>
      <w:r>
        <w:rPr>
          <w:b/>
          <w:i w:val="0"/>
          <w:smallCaps w:val="0"/>
          <w:strike w:val="0"/>
          <w:sz w:val="22"/>
          <w:u w:val="single"/>
        </w:rPr>
        <w:t xml:space="preserve">15 It is nevertheless more often the case that a particular </w:t>
      </w:r>
      <w:r>
        <w:rPr>
          <w:b/>
          <w:i w:val="0"/>
          <w:smallCaps w:val="0"/>
          <w:strike w:val="0"/>
          <w:sz w:val="22"/>
          <w:highlight w:val="cyan"/>
          <w:u w:val="single"/>
        </w:rPr>
        <w:t>construction of</w:t>
      </w:r>
      <w:r>
        <w:rPr>
          <w:b/>
          <w:i w:val="0"/>
          <w:smallCaps w:val="0"/>
          <w:strike w:val="0"/>
          <w:sz w:val="22"/>
          <w:u w:val="single"/>
        </w:rPr>
        <w:t xml:space="preserve"> the </w:t>
      </w:r>
      <w:r>
        <w:rPr>
          <w:b/>
          <w:i w:val="0"/>
          <w:smallCaps w:val="0"/>
          <w:strike w:val="0"/>
          <w:sz w:val="22"/>
          <w:highlight w:val="cyan"/>
          <w:u w:val="single"/>
        </w:rPr>
        <w:t>maternal functions</w:t>
      </w:r>
      <w:r>
        <w:rPr>
          <w:b/>
          <w:i w:val="0"/>
          <w:smallCaps w:val="0"/>
          <w:strike w:val="0"/>
          <w:sz w:val="22"/>
          <w:u w:val="single"/>
        </w:rPr>
        <w:t xml:space="preserve"> as the means by which women and feminism </w:t>
      </w:r>
      <w:r>
        <w:rPr>
          <w:b/>
          <w:i w:val="0"/>
          <w:smallCaps w:val="0"/>
          <w:strike w:val="0"/>
          <w:sz w:val="22"/>
          <w:highlight w:val="cyan"/>
          <w:u w:val="single"/>
        </w:rPr>
        <w:t>become negatively charged</w:t>
      </w:r>
      <w:r>
        <w:rPr>
          <w:b/>
          <w:i w:val="0"/>
          <w:smallCaps w:val="0"/>
          <w:strike w:val="0"/>
          <w:sz w:val="22"/>
          <w:u w:val="single"/>
        </w:rPr>
        <w:t xml:space="preserve"> from a queer point of view.</w:t>
      </w:r>
      <w:r>
        <w:rPr>
          <w:b w:val="0"/>
          <w:i w:val="0"/>
          <w:smallCaps w:val="0"/>
          <w:strike w:val="0"/>
          <w:u w:val="none"/>
        </w:rPr>
        <w:t xml:space="preserve"> </w:t>
      </w:r>
      <w:r>
        <w:rPr>
          <w:b w:val="0"/>
          <w:i w:val="0"/>
          <w:smallCaps w:val="0"/>
          <w:strike w:val="0"/>
          <w:sz w:val="16"/>
          <w:u w:val="none"/>
        </w:rPr>
        <w:t xml:space="preserve">This antagonism toward the maternal contrasts strongly with— indeed, quite pointedly reverses— lesbian feminist paradigms cherishing the mother’s body and taking early mother-daughter ties as a trope for lesbian love. De Lauretis, for one, is glad to abandon the “homosexual-maternal metaphor” (see note 183– 84 n 5). As we have seen, however, another effect of the new antimaternalism has been a tendency to disown queer theory’s feminist antecedents both for valuing and for being, intellectually speaking, the mother. Given cultural views of mothers and older women generally, it follows easily from such an equation that feminism should be seen as negative about sex and antithetical to sexiness. As for the “feminine,” it too is readily conﬂated with a female embodiment most fully expressed by pregnancy and lactation. </w:t>
      </w:r>
      <w:r>
        <w:rPr>
          <w:b/>
          <w:i w:val="0"/>
          <w:smallCaps w:val="0"/>
          <w:strike w:val="0"/>
          <w:sz w:val="22"/>
          <w:u w:val="single"/>
        </w:rPr>
        <w:t xml:space="preserve">Like a textbook illustration of naturalized gender difference, the </w:t>
      </w:r>
      <w:r>
        <w:rPr>
          <w:b/>
          <w:i w:val="0"/>
          <w:smallCaps w:val="0"/>
          <w:strike w:val="0"/>
          <w:sz w:val="22"/>
          <w:highlight w:val="cyan"/>
          <w:u w:val="single"/>
        </w:rPr>
        <w:t>blissfully pregnant or postpartum woman</w:t>
      </w:r>
      <w:r>
        <w:rPr>
          <w:b/>
          <w:i w:val="0"/>
          <w:smallCaps w:val="0"/>
          <w:strike w:val="0"/>
          <w:sz w:val="22"/>
          <w:u w:val="single"/>
        </w:rPr>
        <w:t xml:space="preserve">, whose chromosomes neatly match cultural expectations, </w:t>
      </w:r>
      <w:r>
        <w:rPr>
          <w:b/>
          <w:i w:val="0"/>
          <w:smallCaps w:val="0"/>
          <w:strike w:val="0"/>
          <w:sz w:val="22"/>
          <w:highlight w:val="cyan"/>
          <w:u w:val="single"/>
        </w:rPr>
        <w:t>is put up against queer theory’s transgressive hero</w:t>
      </w:r>
      <w:r>
        <w:rPr>
          <w:b/>
          <w:i w:val="0"/>
          <w:smallCaps w:val="0"/>
          <w:strike w:val="0"/>
          <w:sz w:val="22"/>
          <w:u w:val="single"/>
        </w:rPr>
        <w:t xml:space="preserve">, </w:t>
      </w:r>
      <w:r>
        <w:rPr>
          <w:b/>
          <w:i w:val="0"/>
          <w:smallCaps w:val="0"/>
          <w:strike w:val="0"/>
          <w:sz w:val="22"/>
          <w:highlight w:val="cyan"/>
          <w:u w:val="single"/>
        </w:rPr>
        <w:t>who happens to be biologically male</w:t>
      </w:r>
      <w:r>
        <w:rPr>
          <w:b/>
          <w:i w:val="0"/>
          <w:smallCaps w:val="0"/>
          <w:strike w:val="0"/>
          <w:sz w:val="22"/>
          <w:u w:val="single"/>
        </w:rPr>
        <w:t xml:space="preserve"> but whose body doesn’t line up with either his gender presentation or his sexual practices.</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