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Trans experiences and anti-trans violence are socially, culturally, and geographically situated – neither psychological or sociological explanations are independently explanatory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Martínez-Guzmán and Johnson 21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Martínez-Guzmán received a Doctor in Social Psychology from the Autonomous University of Barcelona and is a Professor at the Faculty of Psychology of the University of Colima (Mexico), Johnson is the Associate Dean, Research, and Innovation as well as former head of Psychology &amp; Psychotherapy at RMIT University (Australia) and was the founding Research Director, Centre for Transforming Sexuality and Gender (2016-2018) at the University of Brighton, UK. (Antar and Katherine, 2021, “Narratives of transphobic violence in the Mexican province of Colima: A psychosocial analysis,” International Journal of Transgender Health, vol. 22, no. 3, doi: 10.1080/26895269.2020.1760164)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this paper we argue that </w:t>
      </w:r>
      <w:r>
        <w:rPr>
          <w:b/>
          <w:i w:val="0"/>
          <w:smallCaps w:val="0"/>
          <w:strike w:val="0"/>
          <w:sz w:val="22"/>
          <w:u w:val="single"/>
        </w:rPr>
        <w:t xml:space="preserve">a psychosocial approach is a useful framework for theorizing how </w:t>
      </w:r>
      <w:r>
        <w:rPr>
          <w:b/>
          <w:i w:val="0"/>
          <w:smallCaps w:val="0"/>
          <w:strike w:val="0"/>
          <w:sz w:val="24"/>
          <w:u w:val="single"/>
        </w:rPr>
        <w:t xml:space="preserve">cultural and institutional factors shape transgender experiences in their local contexts. </w:t>
      </w:r>
      <w:r>
        <w:rPr>
          <w:b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approach </w:t>
      </w:r>
      <w:r>
        <w:rPr>
          <w:b/>
          <w:i w:val="0"/>
          <w:smallCaps w:val="0"/>
          <w:strike w:val="0"/>
          <w:sz w:val="22"/>
          <w:u w:val="single"/>
        </w:rPr>
        <w:t>attempts to avoid explaining trans experiences via either psychological or sociological accounts that can lead to polarized assumptions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Instead </w:t>
      </w:r>
      <w:r>
        <w:rPr>
          <w:b/>
          <w:i w:val="0"/>
          <w:smallCaps w:val="0"/>
          <w:strike w:val="0"/>
          <w:sz w:val="24"/>
          <w:u w:val="single"/>
        </w:rPr>
        <w:t>it explores subjective experiences as inseparable from the social conditions in which they emerge and gain meaning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(Johnson, 2015</w:t>
      </w:r>
      <w:r>
        <w:rPr>
          <w:b/>
          <w:i w:val="0"/>
          <w:smallCaps w:val="0"/>
          <w:strike w:val="0"/>
          <w:sz w:val="22"/>
          <w:u w:val="single"/>
        </w:rPr>
        <w:t>). This might include attention to gender identity and expression, mental health conditions and the psychosocial conditions typical of the geopolitical context, such as precarity, violence or misogyny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Reisner et al. (2016a) also notes </w:t>
      </w:r>
      <w:r>
        <w:rPr>
          <w:b/>
          <w:i w:val="0"/>
          <w:smallCaps w:val="0"/>
          <w:strike w:val="0"/>
          <w:sz w:val="22"/>
          <w:u w:val="single"/>
        </w:rPr>
        <w:t xml:space="preserve">that </w:t>
      </w:r>
      <w:r>
        <w:rPr>
          <w:b/>
          <w:i w:val="0"/>
          <w:smallCaps w:val="0"/>
          <w:strike w:val="0"/>
          <w:sz w:val="24"/>
          <w:u w:val="single"/>
        </w:rPr>
        <w:t>multiple determinants affect transgender health, including biological, behavioral, social, legal, and structural factors associated with health risks and living conditions in general and the relevance of regional contexts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However, a strength of </w:t>
      </w:r>
      <w:r>
        <w:rPr>
          <w:b/>
          <w:i w:val="0"/>
          <w:smallCaps w:val="0"/>
          <w:strike w:val="0"/>
          <w:sz w:val="22"/>
          <w:u w:val="single"/>
        </w:rPr>
        <w:t xml:space="preserve">the psychosocial approach is that it focuses on understanding how shared elements of transgender experiences become entwined in the social life of </w:t>
      </w:r>
      <w:r>
        <w:rPr>
          <w:b/>
          <w:i w:val="0"/>
          <w:smallCaps w:val="0"/>
          <w:strike w:val="0"/>
          <w:sz w:val="24"/>
          <w:u w:val="single"/>
        </w:rPr>
        <w:t>specific cultural and geographical contexts</w:t>
      </w:r>
      <w:r>
        <w:rPr>
          <w:b/>
          <w:i w:val="0"/>
          <w:smallCaps w:val="0"/>
          <w:strike w:val="0"/>
          <w:sz w:val="22"/>
          <w:u w:val="single"/>
        </w:rPr>
        <w:t xml:space="preserve">, where psychosocial intersections create unique subjectivities for trans individuals that are </w:t>
      </w:r>
      <w:r>
        <w:rPr>
          <w:b/>
          <w:i w:val="0"/>
          <w:smallCaps w:val="0"/>
          <w:strike w:val="0"/>
          <w:sz w:val="24"/>
          <w:u w:val="single"/>
        </w:rPr>
        <w:t>shaped by, but not reducible to, individual or social factors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