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Prophetic patents don’t benefit patentees</w:t>
      </w:r>
    </w:p>
    <w:p>
      <w:pPr>
        <w:spacing w:after="80"/>
      </w:pPr>
      <w:r>
        <w:rPr>
          <w:b/>
          <w:i w:val="0"/>
          <w:smallCaps w:val="0"/>
          <w:strike w:val="0"/>
          <w:sz w:val="26"/>
          <w:u w:val="none"/>
        </w:rPr>
        <w:t xml:space="preserve">Ouellette &amp; Williams 20 </w:t>
      </w:r>
      <w:r>
        <w:rPr>
          <w:b w:val="0"/>
          <w:i w:val="0"/>
          <w:smallCaps w:val="0"/>
          <w:strike w:val="0"/>
          <w:u w:val="none"/>
        </w:rPr>
        <w:t>– L</w:t>
      </w:r>
      <w:r>
        <w:rPr>
          <w:b w:val="0"/>
          <w:i w:val="0"/>
          <w:smallCaps w:val="0"/>
          <w:strike w:val="0"/>
          <w:u w:val="none"/>
        </w:rPr>
        <w:t>isa Larrimore Ouellette is an Associate Professor at Stanford Law School</w:t>
      </w:r>
      <w:r>
        <w:rPr>
          <w:b w:val="0"/>
          <w:i w:val="0"/>
          <w:smallCaps w:val="0"/>
          <w:strike w:val="0"/>
          <w:u w:val="none"/>
        </w:rPr>
        <w:t xml:space="preserve">. </w:t>
      </w:r>
      <w:r>
        <w:rPr>
          <w:b w:val="0"/>
          <w:i w:val="0"/>
          <w:smallCaps w:val="0"/>
          <w:strike w:val="0"/>
          <w:u w:val="none"/>
        </w:rPr>
        <w:t>Heidi Williams is the Charles R. Schwab Professor of Economics at Stanford University, and Professor (by courtesy) at Stanford Law School. She is a Research Associate at the National Bureau of Economic Research (NBER</w:t>
      </w:r>
      <w:r>
        <w:rPr>
          <w:b w:val="0"/>
          <w:i w:val="0"/>
          <w:smallCaps w:val="0"/>
          <w:strike w:val="0"/>
          <w:u w:val="none"/>
        </w:rPr>
        <w:t>), and</w:t>
      </w:r>
      <w:r>
        <w:rPr>
          <w:b w:val="0"/>
          <w:i w:val="0"/>
          <w:smallCaps w:val="0"/>
          <w:strike w:val="0"/>
          <w:u w:val="none"/>
        </w:rPr>
        <w:t xml:space="preserve"> is a coeditor of the </w:t>
      </w:r>
      <w:r>
        <w:rPr>
          <w:b w:val="0"/>
          <w:i/>
          <w:smallCaps w:val="0"/>
          <w:strike w:val="0"/>
          <w:u w:val="none"/>
        </w:rPr>
        <w:t>Journal of Economic Perspectives</w:t>
      </w:r>
      <w:r>
        <w:rPr>
          <w:b w:val="0"/>
          <w:i w:val="0"/>
          <w:smallCaps w:val="0"/>
          <w:strike w:val="0"/>
          <w:u w:val="none"/>
        </w:rPr>
        <w:t xml:space="preserve">. </w:t>
      </w:r>
      <w:r>
        <w:rPr>
          <w:b w:val="0"/>
          <w:i w:val="0"/>
          <w:smallCaps w:val="0"/>
          <w:strike w:val="0"/>
          <w:u w:val="none"/>
        </w:rPr>
        <w:t xml:space="preserve">“Reforming the Patent System” June 2024, The Hamilton Project, </w:t>
      </w:r>
      <w:r>
        <w:rPr>
          <w:b w:val="0"/>
          <w:i w:val="0"/>
          <w:smallCaps w:val="0"/>
          <w:strike w:val="0"/>
          <w:u w:val="none"/>
        </w:rPr>
        <w:t>https://law.stanford.edu/wp-content/uploads/2020/06/Ouellette_Williams_LO_6.16_FINAL.pdf</w:t>
      </w:r>
    </w:p>
    <w:p>
      <w:pPr>
        <w:spacing w:after="60"/>
      </w:pPr>
      <w:r>
        <w:rPr>
          <w:b w:val="0"/>
          <w:i w:val="0"/>
          <w:smallCaps w:val="0"/>
          <w:strike w:val="0"/>
          <w:u w:val="none"/>
        </w:rPr>
        <w:t>Should prophetic examples be permitted at all?</w:t>
      </w:r>
      <w:r>
        <w:rPr>
          <w:b w:val="0"/>
          <w:i w:val="0"/>
          <w:smallCaps w:val="0"/>
          <w:strike w:val="0"/>
          <w:u w:val="none"/>
        </w:rPr>
        <w:t xml:space="preserve"> </w:t>
      </w:r>
      <w:r>
        <w:rPr>
          <w:b w:val="0"/>
          <w:i w:val="0"/>
          <w:smallCaps w:val="0"/>
          <w:strike w:val="0"/>
          <w:u w:val="none"/>
        </w:rPr>
        <w:t xml:space="preserve">In addition to requiring clearer labeling for prophetic examples, we think patent policymakers should start a longer-term discussion about whether it makes sense for patents to be granted based purely on prophetic examples to the extent currently allowed. </w:t>
      </w:r>
      <w:r>
        <w:rPr>
          <w:b w:val="0"/>
          <w:i w:val="0"/>
          <w:smallCaps w:val="0"/>
          <w:strike w:val="0"/>
          <w:highlight w:val="cyan"/>
          <w:u w:val="single"/>
        </w:rPr>
        <w:t>In principle, prophetic examples could generate</w:t>
      </w:r>
      <w:r>
        <w:rPr>
          <w:b w:val="0"/>
          <w:i w:val="0"/>
          <w:smallCaps w:val="0"/>
          <w:strike w:val="0"/>
          <w:u w:val="single"/>
        </w:rPr>
        <w:t xml:space="preserve"> social </w:t>
      </w:r>
      <w:r>
        <w:rPr>
          <w:b w:val="0"/>
          <w:i w:val="0"/>
          <w:smallCaps w:val="0"/>
          <w:strike w:val="0"/>
          <w:highlight w:val="cyan"/>
          <w:u w:val="single"/>
        </w:rPr>
        <w:t>benefits</w:t>
      </w:r>
      <w:r>
        <w:rPr>
          <w:b w:val="0"/>
          <w:i w:val="0"/>
          <w:smallCaps w:val="0"/>
          <w:strike w:val="0"/>
          <w:u w:val="none"/>
        </w:rPr>
        <w:t xml:space="preserve">. For example, </w:t>
      </w:r>
      <w:r>
        <w:rPr>
          <w:b w:val="0"/>
          <w:i w:val="0"/>
          <w:smallCaps w:val="0"/>
          <w:strike w:val="0"/>
          <w:u w:val="single"/>
        </w:rPr>
        <w:t>prophetic examples could allow firms to file patent applications earlier in their research processes before they have had time to complete actual experiments</w:t>
      </w:r>
      <w:r>
        <w:rPr>
          <w:b w:val="0"/>
          <w:i w:val="0"/>
          <w:smallCaps w:val="0"/>
          <w:strike w:val="0"/>
          <w:u w:val="none"/>
        </w:rPr>
        <w:t xml:space="preserve">. Although this might be socially beneficial, </w:t>
      </w:r>
      <w:r>
        <w:rPr>
          <w:b w:val="0"/>
          <w:i w:val="0"/>
          <w:smallCaps w:val="0"/>
          <w:strike w:val="0"/>
          <w:u w:val="single"/>
        </w:rPr>
        <w:t>it is equally straightforward to construct cases in which early patenting is socially harmful</w:t>
      </w:r>
      <w:r>
        <w:rPr>
          <w:b w:val="0"/>
          <w:i w:val="0"/>
          <w:smallCaps w:val="0"/>
          <w:strike w:val="0"/>
          <w:u w:val="none"/>
        </w:rPr>
        <w:t xml:space="preserve">. For example, allowing </w:t>
      </w:r>
      <w:r>
        <w:rPr>
          <w:b w:val="0"/>
          <w:i w:val="0"/>
          <w:smallCaps w:val="0"/>
          <w:strike w:val="0"/>
          <w:highlight w:val="cyan"/>
          <w:u w:val="single"/>
        </w:rPr>
        <w:t>patents on untested inventions</w:t>
      </w:r>
      <w:r>
        <w:rPr>
          <w:b w:val="0"/>
          <w:i w:val="0"/>
          <w:smallCaps w:val="0"/>
          <w:strike w:val="0"/>
          <w:u w:val="single"/>
        </w:rPr>
        <w:t xml:space="preserve"> may </w:t>
      </w:r>
      <w:r>
        <w:rPr>
          <w:b w:val="0"/>
          <w:i w:val="0"/>
          <w:smallCaps w:val="0"/>
          <w:strike w:val="0"/>
          <w:highlight w:val="cyan"/>
          <w:u w:val="single"/>
        </w:rPr>
        <w:t>discourage researchers from doing</w:t>
      </w:r>
      <w:r>
        <w:rPr>
          <w:b w:val="0"/>
          <w:i w:val="0"/>
          <w:smallCaps w:val="0"/>
          <w:strike w:val="0"/>
          <w:u w:val="single"/>
        </w:rPr>
        <w:t xml:space="preserve"> the </w:t>
      </w:r>
      <w:r>
        <w:rPr>
          <w:b w:val="0"/>
          <w:i w:val="0"/>
          <w:smallCaps w:val="0"/>
          <w:strike w:val="0"/>
          <w:highlight w:val="cyan"/>
          <w:u w:val="single"/>
        </w:rPr>
        <w:t>work</w:t>
      </w:r>
      <w:r>
        <w:rPr>
          <w:b w:val="0"/>
          <w:i w:val="0"/>
          <w:smallCaps w:val="0"/>
          <w:strike w:val="0"/>
          <w:u w:val="single"/>
        </w:rPr>
        <w:t xml:space="preserve"> needed </w:t>
      </w:r>
      <w:r>
        <w:rPr>
          <w:b w:val="0"/>
          <w:i w:val="0"/>
          <w:smallCaps w:val="0"/>
          <w:strike w:val="0"/>
          <w:highlight w:val="cyan"/>
          <w:u w:val="single"/>
        </w:rPr>
        <w:t>to implement an invention</w:t>
      </w:r>
      <w:r>
        <w:rPr>
          <w:b w:val="0"/>
          <w:i w:val="0"/>
          <w:smallCaps w:val="0"/>
          <w:strike w:val="0"/>
          <w:u w:val="none"/>
        </w:rPr>
        <w:t xml:space="preserve"> in practice (Lemley 2016; Ouellette 2016). Freilich (2019) finds </w:t>
      </w:r>
      <w:r>
        <w:rPr>
          <w:b w:val="0"/>
          <w:i w:val="0"/>
          <w:smallCaps w:val="0"/>
          <w:strike w:val="0"/>
          <w:highlight w:val="cyan"/>
          <w:u w:val="single"/>
        </w:rPr>
        <w:t>little evidence that patents with more prophetic example</w:t>
      </w:r>
      <w:r>
        <w:rPr>
          <w:b w:val="0"/>
          <w:i w:val="0"/>
          <w:smallCaps w:val="0"/>
          <w:strike w:val="0"/>
          <w:u w:val="single"/>
        </w:rPr>
        <w:t xml:space="preserve">s have clear </w:t>
      </w:r>
      <w:r>
        <w:rPr>
          <w:b w:val="0"/>
          <w:i w:val="0"/>
          <w:smallCaps w:val="0"/>
          <w:strike w:val="0"/>
          <w:highlight w:val="cyan"/>
          <w:u w:val="single"/>
        </w:rPr>
        <w:t>benefits</w:t>
      </w:r>
      <w:r>
        <w:rPr>
          <w:b w:val="0"/>
          <w:i w:val="0"/>
          <w:smallCaps w:val="0"/>
          <w:strike w:val="0"/>
          <w:u w:val="single"/>
        </w:rPr>
        <w:t xml:space="preserve"> for patentees; rather, </w:t>
      </w:r>
      <w:r>
        <w:rPr>
          <w:b w:val="0"/>
          <w:i w:val="0"/>
          <w:smallCaps w:val="0"/>
          <w:strike w:val="0"/>
          <w:highlight w:val="cyan"/>
          <w:u w:val="single"/>
        </w:rPr>
        <w:t>they appear to be more narrow, less valuable, less likely to be used by small firms, and more likely to be abandoned</w:t>
      </w:r>
      <w:r>
        <w:rPr>
          <w:b w:val="0"/>
          <w:i w:val="0"/>
          <w:smallCaps w:val="0"/>
          <w:strike w:val="0"/>
          <w:u w:val="none"/>
        </w:rPr>
        <w:t xml:space="preserve">. And Freilich and Ouellette (2019) note that </w:t>
      </w:r>
      <w:r>
        <w:rPr>
          <w:b w:val="0"/>
          <w:i w:val="0"/>
          <w:smallCaps w:val="0"/>
          <w:strike w:val="0"/>
          <w:highlight w:val="cyan"/>
          <w:u w:val="single"/>
        </w:rPr>
        <w:t>prophetic examples are viewed</w:t>
      </w:r>
      <w:r>
        <w:rPr>
          <w:b w:val="0"/>
          <w:i w:val="0"/>
          <w:smallCaps w:val="0"/>
          <w:strike w:val="0"/>
          <w:u w:val="single"/>
        </w:rPr>
        <w:t xml:space="preserve"> more </w:t>
      </w:r>
      <w:r>
        <w:rPr>
          <w:b w:val="0"/>
          <w:i w:val="0"/>
          <w:smallCaps w:val="0"/>
          <w:strike w:val="0"/>
          <w:highlight w:val="cyan"/>
          <w:u w:val="single"/>
        </w:rPr>
        <w:t>skeptically by other patent offices</w:t>
      </w:r>
      <w:r>
        <w:rPr>
          <w:b w:val="0"/>
          <w:i w:val="0"/>
          <w:smallCaps w:val="0"/>
          <w:strike w:val="0"/>
          <w:u w:val="single"/>
        </w:rPr>
        <w:t xml:space="preserve">, including those </w:t>
      </w:r>
      <w:r>
        <w:rPr>
          <w:b w:val="0"/>
          <w:i w:val="0"/>
          <w:smallCaps w:val="0"/>
          <w:strike w:val="0"/>
          <w:highlight w:val="cyan"/>
          <w:u w:val="single"/>
        </w:rPr>
        <w:t>in Canada, China, Europe, and Japan</w:t>
      </w:r>
      <w:r>
        <w:rPr>
          <w:b w:val="0"/>
          <w:i w:val="0"/>
          <w:smallCaps w:val="0"/>
          <w:strike w:val="0"/>
          <w:u w:val="none"/>
        </w:rPr>
        <w:t>. Understanding how prophetic examples affect innovation is an important question for further study. But, in any case, if prophetic examples are retained in the future, policymakers should at least require that they be clearly flagged and distinguished from working examples.</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