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Inflation is cooling and economic fundamentals are strong</w:t>
      </w:r>
    </w:p>
    <w:p>
      <w:pPr>
        <w:spacing w:after="80"/>
      </w:pPr>
      <w:r>
        <w:rPr>
          <w:b/>
          <w:i w:val="0"/>
          <w:smallCaps w:val="0"/>
          <w:strike w:val="0"/>
          <w:sz w:val="26"/>
          <w:u w:val="none"/>
        </w:rPr>
        <w:t>Rugaber 24</w:t>
      </w:r>
      <w:r>
        <w:rPr>
          <w:b w:val="0"/>
          <w:i w:val="0"/>
          <w:smallCaps w:val="0"/>
          <w:strike w:val="0"/>
          <w:u w:val="none"/>
        </w:rPr>
        <w:t xml:space="preserve"> (Chris Rugaber covers the economy and the Federal Reserve for the Associated Press. “US inflation cooled in May in a sign that price pressures may be easing” 6/12/2024. Accessed 6/18/2024. </w:t>
      </w:r>
      <w:r>
        <w:rPr>
          <w:b w:val="0"/>
          <w:i w:val="0"/>
          <w:smallCaps w:val="0"/>
          <w:strike w:val="0"/>
          <w:u w:val="none"/>
        </w:rPr>
        <w:t xml:space="preserve">) wtk </w:t>
      </w:r>
    </w:p>
    <w:p>
      <w:pPr>
        <w:spacing w:after="60"/>
      </w:pPr>
      <w:r>
        <w:rPr>
          <w:b/>
          <w:i w:val="0"/>
          <w:smallCaps w:val="0"/>
          <w:strike w:val="0"/>
          <w:sz w:val="22"/>
          <w:highlight w:val="cyan"/>
          <w:u w:val="single"/>
        </w:rPr>
        <w:t>Inflation</w:t>
      </w:r>
      <w:r>
        <w:rPr>
          <w:b w:val="0"/>
          <w:i w:val="0"/>
          <w:smallCaps w:val="0"/>
          <w:strike w:val="0"/>
          <w:u w:val="none"/>
        </w:rPr>
        <w:t xml:space="preserve"> in the United States </w:t>
      </w:r>
      <w:r>
        <w:rPr>
          <w:b/>
          <w:i w:val="0"/>
          <w:smallCaps w:val="0"/>
          <w:strike w:val="0"/>
          <w:sz w:val="22"/>
          <w:highlight w:val="cyan"/>
          <w:u w:val="single"/>
        </w:rPr>
        <w:t>eased</w:t>
      </w:r>
      <w:r>
        <w:rPr>
          <w:b w:val="0"/>
          <w:i w:val="0"/>
          <w:smallCaps w:val="0"/>
          <w:strike w:val="0"/>
          <w:u w:val="none"/>
        </w:rPr>
        <w:t xml:space="preserve"> in May </w:t>
      </w:r>
      <w:r>
        <w:rPr>
          <w:b/>
          <w:i w:val="0"/>
          <w:smallCaps w:val="0"/>
          <w:strike w:val="0"/>
          <w:sz w:val="22"/>
          <w:highlight w:val="cyan"/>
          <w:u w:val="single"/>
        </w:rPr>
        <w:t>for a second straight month, a hopeful sign that an acceleration of prices</w:t>
      </w:r>
      <w:r>
        <w:rPr>
          <w:b w:val="0"/>
          <w:i w:val="0"/>
          <w:smallCaps w:val="0"/>
          <w:strike w:val="0"/>
          <w:u w:val="none"/>
        </w:rPr>
        <w:t xml:space="preserve"> that occurred early this year may </w:t>
      </w:r>
      <w:r>
        <w:rPr>
          <w:b/>
          <w:i w:val="0"/>
          <w:smallCaps w:val="0"/>
          <w:strike w:val="0"/>
          <w:sz w:val="22"/>
          <w:highlight w:val="cyan"/>
          <w:u w:val="single"/>
        </w:rPr>
        <w:t>have passed</w:t>
      </w:r>
      <w:r>
        <w:rPr>
          <w:b w:val="0"/>
          <w:i w:val="0"/>
          <w:smallCaps w:val="0"/>
          <w:strike w:val="0"/>
          <w:u w:val="none"/>
        </w:rPr>
        <w:t xml:space="preserve">. </w:t>
      </w:r>
      <w:r>
        <w:rPr>
          <w:b w:val="0"/>
          <w:i w:val="0"/>
          <w:smallCaps w:val="0"/>
          <w:strike w:val="0"/>
          <w:u w:val="none"/>
        </w:rPr>
        <w:t>The trend, if it holds, could move the Federal Reserve closer to cutting its benchmark interest rate from its 23</w:t>
      </w:r>
      <w:r>
        <w:rPr>
          <w:b w:val="0"/>
          <w:i w:val="0"/>
          <w:smallCaps w:val="0"/>
          <w:strike w:val="0"/>
          <w:u w:val="none"/>
        </w:rPr>
        <w:t>-year peak.</w:t>
      </w:r>
    </w:p>
    <w:p>
      <w:pPr>
        <w:spacing w:after="60"/>
      </w:pPr>
      <w:r>
        <w:rPr>
          <w:b w:val="0"/>
          <w:i w:val="0"/>
          <w:smallCaps w:val="0"/>
          <w:strike w:val="0"/>
          <w:u w:val="none"/>
        </w:rPr>
        <w:t>Consumer prices</w:t>
      </w:r>
      <w:r>
        <w:rPr>
          <w:b w:val="0"/>
          <w:i w:val="0"/>
          <w:smallCaps w:val="0"/>
          <w:strike w:val="0"/>
          <w:u w:val="none"/>
        </w:rPr>
        <w:t xml:space="preserve"> excluding volatile food and energy costs — </w:t>
      </w:r>
      <w:r>
        <w:rPr>
          <w:b/>
          <w:i w:val="0"/>
          <w:smallCaps w:val="0"/>
          <w:strike w:val="0"/>
          <w:sz w:val="22"/>
          <w:highlight w:val="cyan"/>
          <w:u w:val="single"/>
        </w:rPr>
        <w:t>the</w:t>
      </w:r>
      <w:r>
        <w:rPr>
          <w:b w:val="0"/>
          <w:i w:val="0"/>
          <w:smallCaps w:val="0"/>
          <w:strike w:val="0"/>
          <w:u w:val="none"/>
        </w:rPr>
        <w:t xml:space="preserve"> closely watched “</w:t>
      </w:r>
      <w:r>
        <w:rPr>
          <w:b/>
          <w:i w:val="0"/>
          <w:smallCaps w:val="0"/>
          <w:strike w:val="0"/>
          <w:sz w:val="22"/>
          <w:highlight w:val="cyan"/>
          <w:u w:val="single"/>
        </w:rPr>
        <w:t>core</w:t>
      </w:r>
      <w:r>
        <w:rPr>
          <w:b w:val="0"/>
          <w:i w:val="0"/>
          <w:smallCaps w:val="0"/>
          <w:strike w:val="0"/>
          <w:u w:val="none"/>
        </w:rPr>
        <w:t xml:space="preserve">” </w:t>
      </w:r>
      <w:r>
        <w:rPr>
          <w:b/>
          <w:i w:val="0"/>
          <w:smallCaps w:val="0"/>
          <w:strike w:val="0"/>
          <w:sz w:val="22"/>
          <w:highlight w:val="cyan"/>
          <w:u w:val="single"/>
        </w:rPr>
        <w:t>index</w:t>
      </w:r>
      <w:r>
        <w:rPr>
          <w:b w:val="0"/>
          <w:i w:val="0"/>
          <w:smallCaps w:val="0"/>
          <w:strike w:val="0"/>
          <w:u w:val="none"/>
        </w:rPr>
        <w:t xml:space="preserve"> — rose 0.2% from April to May, the government said Wednesday. That </w:t>
      </w:r>
      <w:r>
        <w:rPr>
          <w:b/>
          <w:i w:val="0"/>
          <w:smallCaps w:val="0"/>
          <w:strike w:val="0"/>
          <w:sz w:val="22"/>
          <w:u w:val="single"/>
        </w:rPr>
        <w:t>was down from 0.3%</w:t>
      </w:r>
      <w:r>
        <w:rPr>
          <w:b w:val="0"/>
          <w:i w:val="0"/>
          <w:smallCaps w:val="0"/>
          <w:strike w:val="0"/>
          <w:u w:val="none"/>
        </w:rPr>
        <w:t xml:space="preserve"> the previous month </w:t>
      </w:r>
      <w:r>
        <w:rPr>
          <w:b/>
          <w:i w:val="0"/>
          <w:smallCaps w:val="0"/>
          <w:strike w:val="0"/>
          <w:sz w:val="22"/>
          <w:u w:val="single"/>
        </w:rPr>
        <w:t xml:space="preserve">and </w:t>
      </w:r>
      <w:r>
        <w:rPr>
          <w:b/>
          <w:i w:val="0"/>
          <w:smallCaps w:val="0"/>
          <w:strike w:val="0"/>
          <w:sz w:val="22"/>
          <w:highlight w:val="cyan"/>
          <w:u w:val="single"/>
        </w:rPr>
        <w:t>was the smallest</w:t>
      </w:r>
      <w:r>
        <w:rPr>
          <w:b/>
          <w:i w:val="0"/>
          <w:smallCaps w:val="0"/>
          <w:strike w:val="0"/>
          <w:sz w:val="22"/>
          <w:u w:val="single"/>
        </w:rPr>
        <w:t xml:space="preserve"> increase </w:t>
      </w:r>
      <w:r>
        <w:rPr>
          <w:b/>
          <w:i w:val="0"/>
          <w:smallCaps w:val="0"/>
          <w:strike w:val="0"/>
          <w:sz w:val="22"/>
          <w:highlight w:val="cyan"/>
          <w:u w:val="single"/>
        </w:rPr>
        <w:t>since October</w:t>
      </w:r>
      <w:r>
        <w:rPr>
          <w:b w:val="0"/>
          <w:i w:val="0"/>
          <w:smallCaps w:val="0"/>
          <w:strike w:val="0"/>
          <w:u w:val="none"/>
        </w:rPr>
        <w:t>. Measured from a year earlier, core prices climbed 3.4%, below last month’s 3.6% rise, and the mildest such increase in three years.</w:t>
      </w:r>
    </w:p>
    <w:p>
      <w:pPr>
        <w:spacing w:after="60"/>
      </w:pPr>
      <w:r>
        <w:rPr>
          <w:b w:val="0"/>
          <w:i w:val="0"/>
          <w:smallCaps w:val="0"/>
          <w:strike w:val="0"/>
          <w:u w:val="none"/>
        </w:rPr>
        <w:t>Fed officials, who will end their latest policy meeting later Wednesday, are scrutinizing each month’s inflation data to assess their progress in their fight against rising prices. Even as overall inflation moderates, such necessities as groceries, rent and health care are much pricier than they were three years ago — a continuing source of public discontent and a political threat to President Joe Biden’s re-election bid.</w:t>
      </w:r>
    </w:p>
    <w:p>
      <w:pPr>
        <w:spacing w:after="60"/>
      </w:pPr>
      <w:r>
        <w:rPr>
          <w:b/>
          <w:i w:val="0"/>
          <w:smallCaps w:val="0"/>
          <w:strike w:val="0"/>
          <w:sz w:val="22"/>
          <w:u w:val="single"/>
        </w:rPr>
        <w:t>Most</w:t>
      </w:r>
      <w:r>
        <w:rPr>
          <w:b/>
          <w:i w:val="0"/>
          <w:smallCaps w:val="0"/>
          <w:strike w:val="0"/>
          <w:sz w:val="22"/>
          <w:u w:val="single"/>
        </w:rPr>
        <w:t xml:space="preserve"> other </w:t>
      </w:r>
      <w:r>
        <w:rPr>
          <w:b/>
          <w:i w:val="0"/>
          <w:smallCaps w:val="0"/>
          <w:strike w:val="0"/>
          <w:sz w:val="22"/>
          <w:u w:val="single"/>
        </w:rPr>
        <w:t>measures</w:t>
      </w:r>
      <w:r>
        <w:rPr>
          <w:b/>
          <w:i w:val="0"/>
          <w:smallCaps w:val="0"/>
          <w:strike w:val="0"/>
          <w:sz w:val="22"/>
          <w:u w:val="single"/>
        </w:rPr>
        <w:t xml:space="preserve"> suggest that </w:t>
      </w:r>
      <w:r>
        <w:rPr>
          <w:b/>
          <w:i w:val="0"/>
          <w:smallCaps w:val="0"/>
          <w:strike w:val="0"/>
          <w:sz w:val="22"/>
          <w:highlight w:val="cyan"/>
          <w:u w:val="single"/>
        </w:rPr>
        <w:t>the economy is healthy</w:t>
      </w:r>
      <w:r>
        <w:rPr>
          <w:b w:val="0"/>
          <w:i w:val="0"/>
          <w:smallCaps w:val="0"/>
          <w:strike w:val="0"/>
          <w:u w:val="none"/>
        </w:rPr>
        <w:t xml:space="preserve">: </w:t>
      </w:r>
      <w:r>
        <w:rPr>
          <w:b/>
          <w:i w:val="0"/>
          <w:smallCaps w:val="0"/>
          <w:strike w:val="0"/>
          <w:sz w:val="22"/>
          <w:highlight w:val="cyan"/>
          <w:u w:val="single"/>
        </w:rPr>
        <w:t>Unemployment remains low, hiring is robust and consumers are</w:t>
      </w:r>
      <w:r>
        <w:rPr>
          <w:b/>
          <w:i w:val="0"/>
          <w:smallCaps w:val="0"/>
          <w:strike w:val="0"/>
          <w:sz w:val="22"/>
          <w:u w:val="single"/>
        </w:rPr>
        <w:t xml:space="preserve"> </w:t>
      </w:r>
      <w:r>
        <w:rPr>
          <w:b w:val="0"/>
          <w:i w:val="0"/>
          <w:smallCaps w:val="0"/>
          <w:strike w:val="0"/>
          <w:u w:val="none"/>
        </w:rPr>
        <w:t>traveling</w:t>
      </w:r>
      <w:r>
        <w:rPr>
          <w:b w:val="0"/>
          <w:i w:val="0"/>
          <w:smallCaps w:val="0"/>
          <w:strike w:val="0"/>
          <w:u w:val="none"/>
        </w:rPr>
        <w:t xml:space="preserve">, eating out and </w:t>
      </w:r>
      <w:r>
        <w:rPr>
          <w:b/>
          <w:i w:val="0"/>
          <w:smallCaps w:val="0"/>
          <w:strike w:val="0"/>
          <w:sz w:val="22"/>
          <w:highlight w:val="cyan"/>
          <w:u w:val="single"/>
        </w:rPr>
        <w:t>spending</w:t>
      </w:r>
      <w:r>
        <w:rPr>
          <w:b w:val="0"/>
          <w:i w:val="0"/>
          <w:smallCaps w:val="0"/>
          <w:strike w:val="0"/>
          <w:u w:val="none"/>
        </w:rPr>
        <w:t xml:space="preserve"> on entertainment.</w:t>
      </w:r>
    </w:p>
    <w:p>
      <w:pPr>
        <w:spacing w:after="60"/>
      </w:pPr>
      <w:r>
        <w:rPr>
          <w:b w:val="0"/>
          <w:i w:val="0"/>
          <w:smallCaps w:val="0"/>
          <w:strike w:val="0"/>
          <w:u w:val="none"/>
        </w:rPr>
        <w:t xml:space="preserve">And </w:t>
      </w:r>
      <w:r>
        <w:rPr>
          <w:b/>
          <w:i w:val="0"/>
          <w:smallCaps w:val="0"/>
          <w:strike w:val="0"/>
          <w:sz w:val="24"/>
          <w:u w:val="single"/>
        </w:rPr>
        <w:t>Wednesday’s</w:t>
      </w:r>
      <w:r>
        <w:rPr>
          <w:b/>
          <w:i w:val="0"/>
          <w:smallCaps w:val="0"/>
          <w:strike w:val="0"/>
          <w:sz w:val="24"/>
          <w:u w:val="single"/>
        </w:rPr>
        <w:t xml:space="preserve"> report indicated that </w:t>
      </w:r>
      <w:r>
        <w:rPr>
          <w:b/>
          <w:i w:val="0"/>
          <w:smallCaps w:val="0"/>
          <w:strike w:val="0"/>
          <w:sz w:val="24"/>
          <w:highlight w:val="cyan"/>
          <w:u w:val="single"/>
        </w:rPr>
        <w:t>consumers are beginning to get some relief from</w:t>
      </w:r>
      <w:r>
        <w:rPr>
          <w:b/>
          <w:i w:val="0"/>
          <w:smallCaps w:val="0"/>
          <w:strike w:val="0"/>
          <w:sz w:val="24"/>
          <w:u w:val="single"/>
        </w:rPr>
        <w:t xml:space="preserve"> the </w:t>
      </w:r>
      <w:r>
        <w:rPr>
          <w:b/>
          <w:i w:val="0"/>
          <w:smallCaps w:val="0"/>
          <w:strike w:val="0"/>
          <w:sz w:val="24"/>
          <w:highlight w:val="cyan"/>
          <w:u w:val="single"/>
        </w:rPr>
        <w:t>price spikes</w:t>
      </w:r>
      <w:r>
        <w:rPr>
          <w:b/>
          <w:i w:val="0"/>
          <w:smallCaps w:val="0"/>
          <w:strike w:val="0"/>
          <w:sz w:val="24"/>
          <w:u w:val="single"/>
        </w:rPr>
        <w:t xml:space="preserve"> of the past three years.</w:t>
      </w:r>
      <w:r>
        <w:rPr>
          <w:b w:val="0"/>
          <w:i w:val="0"/>
          <w:smallCaps w:val="0"/>
          <w:strike w:val="0"/>
          <w:u w:val="none"/>
        </w:rPr>
        <w:t xml:space="preserve"> Grocery costs were unchanged, on average, from April to May, after actually falling 0.2% the previous month. Food prices have risen just 1% over the past 12 months, though they’re still up about 20% from three years ago.</w:t>
      </w:r>
    </w:p>
    <w:p>
      <w:pPr>
        <w:spacing w:after="60"/>
      </w:pPr>
      <w:r>
        <w:rPr>
          <w:b w:val="0"/>
          <w:i w:val="0"/>
          <w:smallCaps w:val="0"/>
          <w:strike w:val="0"/>
          <w:u w:val="none"/>
        </w:rPr>
        <w:t>Average gas prices tumbled 3.6% nationally just from April to May, though they’re 2.2% higher than they were a year earlier. Those declines have continued, with gas averaging $3.45 a gallon Wednesday, down 17 cents from a month ago. Americans didn’t drive as much over the Memorial Day weekend as they have in previous years, reducing demand, and oil prices have fallen.</w:t>
      </w:r>
    </w:p>
    <w:p>
      <w:pPr>
        <w:spacing w:after="60"/>
      </w:pPr>
      <w:r>
        <w:rPr>
          <w:b/>
          <w:i w:val="0"/>
          <w:smallCaps w:val="0"/>
          <w:strike w:val="0"/>
          <w:sz w:val="22"/>
          <w:highlight w:val="cyan"/>
          <w:u w:val="single"/>
        </w:rPr>
        <w:t>Overall inflation</w:t>
      </w:r>
      <w:r>
        <w:rPr>
          <w:b w:val="0"/>
          <w:i w:val="0"/>
          <w:smallCaps w:val="0"/>
          <w:strike w:val="0"/>
          <w:u w:val="none"/>
        </w:rPr>
        <w:t xml:space="preserve"> also </w:t>
      </w:r>
      <w:r>
        <w:rPr>
          <w:b/>
          <w:i w:val="0"/>
          <w:smallCaps w:val="0"/>
          <w:strike w:val="0"/>
          <w:sz w:val="22"/>
          <w:highlight w:val="cyan"/>
          <w:u w:val="single"/>
        </w:rPr>
        <w:t>slowed</w:t>
      </w:r>
      <w:r>
        <w:rPr>
          <w:b w:val="0"/>
          <w:i w:val="0"/>
          <w:smallCaps w:val="0"/>
          <w:strike w:val="0"/>
          <w:u w:val="none"/>
        </w:rPr>
        <w:t xml:space="preserve"> last month, with consumer prices unchanged from April to May. Measured from a year earlier, prices rose 3.3%, less than the 3.6% increase a month earlier.</w:t>
      </w:r>
    </w:p>
    <w:p>
      <w:pPr>
        <w:spacing w:after="60"/>
      </w:pPr>
      <w:r>
        <w:rPr>
          <w:b w:val="0"/>
          <w:i w:val="0"/>
          <w:smallCaps w:val="0"/>
          <w:strike w:val="0"/>
          <w:u w:val="none"/>
        </w:rPr>
        <w:t>“</w:t>
      </w:r>
      <w:r>
        <w:rPr>
          <w:b/>
          <w:i w:val="0"/>
          <w:smallCaps w:val="0"/>
          <w:strike w:val="0"/>
          <w:sz w:val="22"/>
          <w:u w:val="single"/>
        </w:rPr>
        <w:t>It’s certainly welcome news</w:t>
      </w:r>
      <w:r>
        <w:rPr>
          <w:b w:val="0"/>
          <w:i w:val="0"/>
          <w:smallCaps w:val="0"/>
          <w:strike w:val="0"/>
          <w:u w:val="none"/>
        </w:rPr>
        <w:t xml:space="preserve">,” said Tom Porcelli, chief U.S. economist at PGIM Fixed Income. “It drives home that the </w:t>
      </w:r>
      <w:r>
        <w:rPr>
          <w:b/>
          <w:i w:val="0"/>
          <w:smallCaps w:val="0"/>
          <w:strike w:val="0"/>
          <w:sz w:val="22"/>
          <w:highlight w:val="cyan"/>
          <w:u w:val="single"/>
        </w:rPr>
        <w:t>inflation</w:t>
      </w:r>
      <w:r>
        <w:rPr>
          <w:b w:val="0"/>
          <w:i w:val="0"/>
          <w:smallCaps w:val="0"/>
          <w:strike w:val="0"/>
          <w:u w:val="none"/>
        </w:rPr>
        <w:t xml:space="preserve"> challenge in the United States </w:t>
      </w:r>
      <w:r>
        <w:rPr>
          <w:b/>
          <w:i w:val="0"/>
          <w:smallCaps w:val="0"/>
          <w:strike w:val="0"/>
          <w:sz w:val="22"/>
          <w:highlight w:val="cyan"/>
          <w:u w:val="single"/>
        </w:rPr>
        <w:t>is not as challenging as monetary policy makers believe.”</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