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Link controls uniqueness—cooling inflation limits recession risks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Peterson 24</w:t>
      </w:r>
      <w:r>
        <w:rPr>
          <w:b w:val="0"/>
          <w:i w:val="0"/>
          <w:smallCaps w:val="0"/>
          <w:strike w:val="0"/>
          <w:u w:val="none"/>
        </w:rPr>
        <w:t xml:space="preserve"> (Dana M. Peterson, Chief Economist and Leader of the Economy, Strategy &amp; Finance Center at The Conference Board. “Retail Sales Confirm Continued Consumer Spending Pullback” 6/18/2024. Accessed 6/19/2024. </w:t>
      </w:r>
      <w:r>
        <w:rPr>
          <w:b w:val="0"/>
          <w:i w:val="0"/>
          <w:smallCaps w:val="0"/>
          <w:strike w:val="0"/>
          <w:u w:val="none"/>
        </w:rPr>
        <w:t xml:space="preserve">) wtk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Weaker consumer spending is all according to the Fed’s plan: cool</w:t>
      </w:r>
      <w:r>
        <w:rPr>
          <w:b w:val="0"/>
          <w:i w:val="0"/>
          <w:smallCaps w:val="0"/>
          <w:strike w:val="0"/>
          <w:u w:val="none"/>
        </w:rPr>
        <w:t xml:space="preserve"> economic activity and thereby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inflation</w:t>
      </w:r>
      <w:r>
        <w:rPr>
          <w:b w:val="0"/>
          <w:i w:val="0"/>
          <w:smallCaps w:val="0"/>
          <w:strike w:val="0"/>
          <w:u w:val="none"/>
        </w:rPr>
        <w:t xml:space="preserve">, hopefully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without inducing a recession</w:t>
      </w:r>
      <w:r>
        <w:rPr>
          <w:b w:val="0"/>
          <w:i w:val="0"/>
          <w:smallCaps w:val="0"/>
          <w:strike w:val="0"/>
          <w:u w:val="none"/>
        </w:rPr>
        <w:t xml:space="preserve">. We believe Q2 and Q3 real GDP growth will be anemic (between 0% and 1% q/q annualized). Still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 recession is unlikely because businesses are still generally willing to hold on to their best talent.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Against this backdrop, we anticipate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slower real GDP growth and inflation</w:t>
      </w:r>
      <w:r>
        <w:rPr>
          <w:b/>
          <w:i w:val="0"/>
          <w:smallCaps w:val="0"/>
          <w:strike w:val="0"/>
          <w:sz w:val="22"/>
          <w:u w:val="single"/>
        </w:rPr>
        <w:t xml:space="preserve">, plus a relatively healthy labor market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will enable the Fed to cut interest rates twice this year</w:t>
      </w:r>
      <w:r>
        <w:rPr>
          <w:b w:val="0"/>
          <w:i w:val="0"/>
          <w:smallCaps w:val="0"/>
          <w:strike w:val="0"/>
          <w:u w:val="none"/>
        </w:rPr>
        <w:t xml:space="preserve"> – potentially at the November and December meetings. Indeed, only a slight majority of FOMC participants desired one cut at the June meeting, with others mostly anticipating two cuts.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