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spills over to limit fair use </w:t>
      </w:r>
      <w:r>
        <w:rPr>
          <w:b/>
          <w:i w:val="0"/>
          <w:smallCaps w:val="0"/>
          <w:strike w:val="0"/>
          <w:sz w:val="26"/>
          <w:u w:val="single"/>
        </w:rPr>
        <w:t>beyond AI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Mantegna 24</w:t>
      </w:r>
      <w:r>
        <w:rPr>
          <w:b w:val="0"/>
          <w:i w:val="0"/>
          <w:smallCaps w:val="0"/>
          <w:strike w:val="0"/>
          <w:u w:val="none"/>
        </w:rPr>
        <w:t xml:space="preserve"> (Micaela Mantegna, Affiliate at the Berkman Klein Center at Harvard University (United States) and the Center for Technology and Society at San Andres University (Argentina). “ARTificial: Why Copyright Is Not the Right Policy Tool to Deal with Generative AI” </w:t>
      </w:r>
      <w:r>
        <w:rPr>
          <w:b w:val="0"/>
          <w:i/>
          <w:smallCaps w:val="0"/>
          <w:strike w:val="0"/>
          <w:u w:val="none"/>
        </w:rPr>
        <w:t xml:space="preserve">Yale Law Journal </w:t>
      </w:r>
      <w:r>
        <w:rPr>
          <w:b w:val="0"/>
          <w:i w:val="0"/>
          <w:smallCaps w:val="0"/>
          <w:strike w:val="0"/>
          <w:u w:val="none"/>
        </w:rPr>
        <w:t>Volume 133, 4/22/2024. Accessed 5/27/2024. https://www.yalelawjournal.org/forum/artificial-why-copyright-is-not-the-right-policy-tool-to-deal-with-generative-ai)</w:t>
      </w:r>
      <w:r>
        <w:rPr>
          <w:b w:val="0"/>
          <w:i w:val="0"/>
          <w:smallCaps w:val="0"/>
          <w:strike w:val="0"/>
          <w:u w:val="none"/>
        </w:rPr>
        <w:t xml:space="preserve"> wtk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Copyright law is currently applied in multifaceted</w:t>
      </w:r>
      <w:r>
        <w:rPr>
          <w:b w:val="0"/>
          <w:i w:val="0"/>
          <w:smallCaps w:val="0"/>
          <w:strike w:val="0"/>
          <w:u w:val="none"/>
        </w:rPr>
        <w:t xml:space="preserve"> and sometimes problematic </w:t>
      </w:r>
      <w:r>
        <w:rPr>
          <w:b/>
          <w:i w:val="0"/>
          <w:smallCaps w:val="0"/>
          <w:strike w:val="0"/>
          <w:sz w:val="22"/>
          <w:u w:val="single"/>
        </w:rPr>
        <w:t>ways</w:t>
      </w:r>
      <w:r>
        <w:rPr>
          <w:b w:val="0"/>
          <w:i w:val="0"/>
          <w:smallCaps w:val="0"/>
          <w:strike w:val="0"/>
          <w:u w:val="none"/>
        </w:rPr>
        <w:t xml:space="preserve">, and it has often been extended far outside of its original scope. </w:t>
      </w:r>
      <w:r>
        <w:rPr>
          <w:b/>
          <w:i w:val="0"/>
          <w:smallCaps w:val="0"/>
          <w:strike w:val="0"/>
          <w:sz w:val="22"/>
          <w:u w:val="single"/>
        </w:rPr>
        <w:t xml:space="preserve">In the evolving legal landscape of digital technologies,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fair-use doctrine stands on precarious ground</w:t>
      </w:r>
      <w:r>
        <w:rPr>
          <w:b/>
          <w:i w:val="0"/>
          <w:smallCaps w:val="0"/>
          <w:strike w:val="0"/>
          <w:sz w:val="22"/>
          <w:u w:val="single"/>
        </w:rPr>
        <w:t xml:space="preserve">, especially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considering</w:t>
      </w:r>
      <w:r>
        <w:rPr>
          <w:b/>
          <w:i w:val="0"/>
          <w:smallCaps w:val="0"/>
          <w:strike w:val="0"/>
          <w:sz w:val="22"/>
          <w:u w:val="single"/>
        </w:rPr>
        <w:t xml:space="preserve"> the 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challenges posed by AI litigation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flexibility of the fair-use doctrine is a double-edged sword. It allows the doctrine to accommodate new emerging scenarios, but it is also unpredictable and creates uncertainty as one is at risk of infringement until a judge rules otherwise.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rulings could solidify interpretations of fair use that may not have been foreseen</w:t>
      </w:r>
      <w:r>
        <w:rPr>
          <w:b w:val="0"/>
          <w:i w:val="0"/>
          <w:smallCaps w:val="0"/>
          <w:strike w:val="0"/>
          <w:u w:val="none"/>
        </w:rPr>
        <w:t xml:space="preserve"> or intended by the original framers of the doctrine.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because of</w:t>
      </w:r>
      <w:r>
        <w:rPr>
          <w:b/>
          <w:i w:val="0"/>
          <w:smallCaps w:val="0"/>
          <w:strike w:val="0"/>
          <w:sz w:val="22"/>
          <w:u w:val="single"/>
        </w:rPr>
        <w:t xml:space="preserve"> the principle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stare decisis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outcomes</w:t>
      </w:r>
      <w:r>
        <w:rPr>
          <w:b/>
          <w:i w:val="0"/>
          <w:smallCaps w:val="0"/>
          <w:strike w:val="0"/>
          <w:sz w:val="22"/>
          <w:u w:val="single"/>
        </w:rPr>
        <w:t xml:space="preserve"> of these cases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set significant judicial precedents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Thus,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 verdict in the context of AI that shrinks fair use could have far-reaching implications for other scenarios across various unrelated fields, where the stakes and the players are substantially different.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