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Stare decisis is true for fair use cases</w:t>
      </w:r>
    </w:p>
    <w:p>
      <w:pPr>
        <w:spacing w:after="80"/>
      </w:pPr>
      <w:r>
        <w:rPr>
          <w:b/>
          <w:i w:val="0"/>
          <w:smallCaps w:val="0"/>
          <w:strike w:val="0"/>
          <w:sz w:val="26"/>
          <w:u w:val="none"/>
        </w:rPr>
        <w:t>Modak-Truran 23</w:t>
      </w:r>
      <w:r>
        <w:rPr>
          <w:b w:val="0"/>
          <w:i w:val="0"/>
          <w:smallCaps w:val="0"/>
          <w:strike w:val="0"/>
          <w:u w:val="none"/>
        </w:rPr>
        <w:t xml:space="preserve"> (Michael Modak-Truran, Law Clerk at Skadden in the Intellectual Property and Technology Transactions practice. “Is a Fair Use Forever Fair?” NYU Law Review Volume 98, Number 3, June 2023. Accessed 6/19/2024. https://www.nyulawreview.org/wp-content/uploads/2023/06/98-NYU-L-Rev-962.pdf) wtk</w:t>
      </w:r>
    </w:p>
    <w:p>
      <w:pPr>
        <w:spacing w:after="60"/>
      </w:pPr>
      <w:r>
        <w:rPr>
          <w:b/>
          <w:i w:val="0"/>
          <w:smallCaps w:val="0"/>
          <w:strike w:val="0"/>
          <w:sz w:val="22"/>
          <w:highlight w:val="cyan"/>
          <w:u w:val="single"/>
        </w:rPr>
        <w:t>Copyright law serves the dueling purposes of protecting</w:t>
      </w:r>
      <w:r>
        <w:rPr>
          <w:b/>
          <w:i w:val="0"/>
          <w:smallCaps w:val="0"/>
          <w:strike w:val="0"/>
          <w:sz w:val="22"/>
          <w:u w:val="single"/>
        </w:rPr>
        <w:t xml:space="preserve"> content </w:t>
      </w:r>
      <w:r>
        <w:rPr>
          <w:b/>
          <w:i w:val="0"/>
          <w:smallCaps w:val="0"/>
          <w:strike w:val="0"/>
          <w:sz w:val="22"/>
          <w:highlight w:val="cyan"/>
          <w:u w:val="single"/>
        </w:rPr>
        <w:t>creators’ rights and</w:t>
      </w:r>
      <w:r>
        <w:rPr>
          <w:b/>
          <w:i w:val="0"/>
          <w:smallCaps w:val="0"/>
          <w:strike w:val="0"/>
          <w:sz w:val="22"/>
          <w:u w:val="single"/>
        </w:rPr>
        <w:t xml:space="preserve"> ensuring the public’s </w:t>
      </w:r>
      <w:r>
        <w:rPr>
          <w:b/>
          <w:i w:val="0"/>
          <w:smallCaps w:val="0"/>
          <w:strike w:val="0"/>
          <w:sz w:val="22"/>
          <w:highlight w:val="cyan"/>
          <w:u w:val="single"/>
        </w:rPr>
        <w:t>access</w:t>
      </w:r>
      <w:r>
        <w:rPr>
          <w:b/>
          <w:i w:val="0"/>
          <w:smallCaps w:val="0"/>
          <w:strike w:val="0"/>
          <w:sz w:val="22"/>
          <w:u w:val="single"/>
        </w:rPr>
        <w:t xml:space="preserve"> to works</w:t>
      </w:r>
      <w:r>
        <w:rPr>
          <w:b w:val="0"/>
          <w:i w:val="0"/>
          <w:smallCaps w:val="0"/>
          <w:strike w:val="0"/>
          <w:u w:val="none"/>
        </w:rPr>
        <w:t xml:space="preserve">. </w:t>
      </w:r>
      <w:r>
        <w:rPr>
          <w:b/>
          <w:i w:val="0"/>
          <w:smallCaps w:val="0"/>
          <w:strike w:val="0"/>
          <w:sz w:val="22"/>
          <w:highlight w:val="cyan"/>
          <w:u w:val="single"/>
        </w:rPr>
        <w:t>This</w:t>
      </w:r>
      <w:r>
        <w:rPr>
          <w:b w:val="0"/>
          <w:i w:val="0"/>
          <w:smallCaps w:val="0"/>
          <w:strike w:val="0"/>
          <w:u w:val="none"/>
        </w:rPr>
        <w:t xml:space="preserve"> tension </w:t>
      </w:r>
      <w:r>
        <w:rPr>
          <w:b/>
          <w:i w:val="0"/>
          <w:smallCaps w:val="0"/>
          <w:strike w:val="0"/>
          <w:sz w:val="22"/>
          <w:highlight w:val="cyan"/>
          <w:u w:val="single"/>
        </w:rPr>
        <w:t>plays out</w:t>
      </w:r>
      <w:r>
        <w:rPr>
          <w:b/>
          <w:i w:val="0"/>
          <w:smallCaps w:val="0"/>
          <w:strike w:val="0"/>
          <w:sz w:val="22"/>
          <w:u w:val="single"/>
        </w:rPr>
        <w:t xml:space="preserve"> centrally </w:t>
      </w:r>
      <w:r>
        <w:rPr>
          <w:b/>
          <w:i w:val="0"/>
          <w:smallCaps w:val="0"/>
          <w:strike w:val="0"/>
          <w:sz w:val="22"/>
          <w:highlight w:val="cyan"/>
          <w:u w:val="single"/>
        </w:rPr>
        <w:t>in</w:t>
      </w:r>
      <w:r>
        <w:rPr>
          <w:b w:val="0"/>
          <w:i w:val="0"/>
          <w:smallCaps w:val="0"/>
          <w:strike w:val="0"/>
          <w:u w:val="none"/>
        </w:rPr>
        <w:t xml:space="preserve"> the doctrine of </w:t>
      </w:r>
      <w:r>
        <w:rPr>
          <w:b/>
          <w:i w:val="0"/>
          <w:smallCaps w:val="0"/>
          <w:strike w:val="0"/>
          <w:sz w:val="22"/>
          <w:highlight w:val="cyan"/>
          <w:u w:val="single"/>
        </w:rPr>
        <w:t>fair</w:t>
      </w:r>
      <w:r>
        <w:rPr>
          <w:b/>
          <w:i w:val="0"/>
          <w:smallCaps w:val="0"/>
          <w:strike w:val="0"/>
          <w:sz w:val="22"/>
          <w:u w:val="single"/>
        </w:rPr>
        <w:t xml:space="preserve"> use</w:t>
      </w:r>
      <w:r>
        <w:rPr>
          <w:b w:val="0"/>
          <w:i w:val="0"/>
          <w:smallCaps w:val="0"/>
          <w:strike w:val="0"/>
          <w:u w:val="none"/>
        </w:rPr>
        <w:t xml:space="preserve"> and how judges work through the four statutorily dictated factors to find a fair use. </w:t>
      </w:r>
      <w:r>
        <w:rPr>
          <w:b/>
          <w:i w:val="0"/>
          <w:smallCaps w:val="0"/>
          <w:strike w:val="0"/>
          <w:sz w:val="22"/>
          <w:u w:val="single"/>
        </w:rPr>
        <w:t>In addition to the statute</w:t>
      </w:r>
      <w:r>
        <w:rPr>
          <w:b w:val="0"/>
          <w:i w:val="0"/>
          <w:smallCaps w:val="0"/>
          <w:strike w:val="0"/>
          <w:u w:val="none"/>
        </w:rPr>
        <w:t xml:space="preserve">,18 </w:t>
      </w:r>
      <w:r>
        <w:rPr>
          <w:b/>
          <w:i w:val="0"/>
          <w:smallCaps w:val="0"/>
          <w:strike w:val="0"/>
          <w:sz w:val="22"/>
          <w:highlight w:val="cyan"/>
          <w:u w:val="single"/>
        </w:rPr>
        <w:t>judges</w:t>
      </w:r>
      <w:r>
        <w:rPr>
          <w:b w:val="0"/>
          <w:i w:val="0"/>
          <w:smallCaps w:val="0"/>
          <w:strike w:val="0"/>
          <w:u w:val="none"/>
        </w:rPr>
        <w:t xml:space="preserve"> also </w:t>
      </w:r>
      <w:r>
        <w:rPr>
          <w:b/>
          <w:i w:val="0"/>
          <w:smallCaps w:val="0"/>
          <w:strike w:val="0"/>
          <w:sz w:val="24"/>
          <w:highlight w:val="cyan"/>
          <w:u w:val="single"/>
        </w:rPr>
        <w:t>consider the reasoning of past judges within a system of stare decisis</w:t>
      </w:r>
      <w:r>
        <w:rPr>
          <w:b w:val="0"/>
          <w:i w:val="0"/>
          <w:smallCaps w:val="0"/>
          <w:strike w:val="0"/>
          <w:u w:val="none"/>
        </w:rPr>
        <w:t xml:space="preserve">. </w:t>
      </w:r>
      <w:r>
        <w:rPr>
          <w:b/>
          <w:i w:val="0"/>
          <w:smallCaps w:val="0"/>
          <w:strike w:val="0"/>
          <w:sz w:val="22"/>
          <w:u w:val="single"/>
        </w:rPr>
        <w:t>Stare decisis claims the benefits of fairness, predictability, stability, the rule of law, economic investment, and decisionmaking efficiency.</w:t>
      </w:r>
      <w:r>
        <w:rPr>
          <w:b w:val="0"/>
          <w:i w:val="0"/>
          <w:smallCaps w:val="0"/>
          <w:strike w:val="0"/>
          <w:u w:val="none"/>
        </w:rPr>
        <w:t xml:space="preserve"> Walking through the purpose of copyright law, fair use doctrine, and the rationales for stare decisis will position the television and music distribution cases in Part II and will inform Part III’s recommendation about the application and generation of legal precedent relating to utility-expanding transformative fair uses.</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