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Precedent matters</w:t>
      </w:r>
      <w:r>
        <w:rPr>
          <w:b/>
          <w:i w:val="0"/>
          <w:smallCaps w:val="0"/>
          <w:strike w:val="0"/>
          <w:sz w:val="26"/>
          <w:u w:val="none"/>
        </w:rPr>
        <w:t>, especially for fair use cases about new tech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Modak-Truran 23</w:t>
      </w:r>
      <w:r>
        <w:rPr>
          <w:b w:val="0"/>
          <w:i w:val="0"/>
          <w:smallCaps w:val="0"/>
          <w:strike w:val="0"/>
          <w:u w:val="none"/>
        </w:rPr>
        <w:t xml:space="preserve"> (Michael Modak-Truran, Law Clerk at Skadden in the Intellectual Property and Technology Transactions practice. “Is a Fair Use Forever Fair?” NYU Law Review Volume 98, Number 3, June 2023. Accessed 6/19/2024. https://www.nyulawreview.org/wp-content/uploads/2023/06/98-NYU-L-Rev-962.pdf) wtk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that analysis decides whether a use is fair, </w:t>
      </w:r>
      <w:r>
        <w:rPr>
          <w:b/>
          <w:i w:val="0"/>
          <w:smallCaps w:val="0"/>
          <w:strike w:val="0"/>
          <w:sz w:val="22"/>
          <w:u w:val="single"/>
        </w:rPr>
        <w:t>is a fair use forever fair?</w:t>
      </w:r>
      <w:r>
        <w:rPr>
          <w:b w:val="0"/>
          <w:i w:val="0"/>
          <w:smallCaps w:val="0"/>
          <w:strike w:val="0"/>
          <w:u w:val="none"/>
        </w:rPr>
        <w:t xml:space="preserve"> Do technologies that are deemed fair uses in the past necessarily constitute fair uses in the present?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Courts</w:t>
      </w:r>
      <w:r>
        <w:rPr>
          <w:b/>
          <w:i w:val="0"/>
          <w:smallCaps w:val="0"/>
          <w:strike w:val="0"/>
          <w:sz w:val="22"/>
          <w:u w:val="single"/>
        </w:rPr>
        <w:t>, enmeshed in “rapidly changing technological, economic, and business-related circumstances</w:t>
      </w:r>
      <w:r>
        <w:rPr>
          <w:b w:val="0"/>
          <w:i w:val="0"/>
          <w:smallCaps w:val="0"/>
          <w:strike w:val="0"/>
          <w:u w:val="none"/>
        </w:rPr>
        <w:t xml:space="preserve">,”15 </w:t>
      </w:r>
      <w:r>
        <w:rPr>
          <w:b/>
          <w:i w:val="0"/>
          <w:smallCaps w:val="0"/>
          <w:strike w:val="0"/>
          <w:sz w:val="22"/>
          <w:u w:val="single"/>
        </w:rPr>
        <w:t>cannot predict the future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4"/>
          <w:u w:val="single"/>
        </w:rPr>
        <w:t xml:space="preserve">but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decisions of whether a use is fair are binding precedent on future generations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This dynamic upsets the careful balance in copyright law between the rights of content creators and access to copyrighted works by the public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To explore this tension, this Note considers what Judge Pierre Leval classified as “utility-expanding transformative fair uses,”16 or technologies that have the capability to deliver copyrighted content in particularly efficient or novel ways.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