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Brand owners are better cost distributors – increasing liability on platforms increases the price of </w:t>
      </w:r>
      <w:r>
        <w:rPr>
          <w:b/>
          <w:i w:val="0"/>
          <w:smallCaps w:val="0"/>
          <w:strike w:val="0"/>
          <w:sz w:val="26"/>
          <w:u w:val="single"/>
        </w:rPr>
        <w:t>all goods sold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Andrew Ligon </w:t>
      </w:r>
      <w:r>
        <w:rPr>
          <w:b/>
          <w:i w:val="0"/>
          <w:smallCaps w:val="0"/>
          <w:strike w:val="0"/>
          <w:sz w:val="26"/>
          <w:u w:val="none"/>
        </w:rPr>
        <w:t>Fant,</w:t>
      </w:r>
      <w:r>
        <w:rPr>
          <w:b w:val="0"/>
          <w:i w:val="0"/>
          <w:smallCaps w:val="0"/>
          <w:strike w:val="0"/>
          <w:u w:val="none"/>
        </w:rPr>
        <w:t xml:space="preserve"> 20</w:t>
      </w:r>
      <w:r>
        <w:rPr>
          <w:b/>
          <w:i w:val="0"/>
          <w:smallCaps w:val="0"/>
          <w:strike w:val="0"/>
          <w:sz w:val="26"/>
          <w:u w:val="none"/>
        </w:rPr>
        <w:t>22</w:t>
      </w:r>
      <w:r>
        <w:rPr>
          <w:b w:val="0"/>
          <w:i w:val="0"/>
          <w:smallCaps w:val="0"/>
          <w:strike w:val="0"/>
          <w:u w:val="none"/>
        </w:rPr>
        <w:t xml:space="preserve"> - J.D. Candidate, 2023, University of Georgia School of Law. “Reconsidering the Willful Blindness Doctrine in Contributory Trademark Infringement,” 29 J. INTELL. PROP. L. 318 (2022). Available at: https://digitalcommons.law.uga.edu/jipl/vol29/iss2/3 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Indeed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brand owners, not online marketplace owners, are in the best position to identify infringement in ecommerce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because of their expertise in their products and</w:t>
      </w:r>
      <w:r>
        <w:rPr>
          <w:b/>
          <w:i w:val="0"/>
          <w:smallCaps w:val="0"/>
          <w:strike w:val="0"/>
          <w:sz w:val="22"/>
          <w:u w:val="single"/>
        </w:rPr>
        <w:t xml:space="preserve"> registered marks</w:t>
      </w:r>
      <w:r>
        <w:rPr>
          <w:b w:val="0"/>
          <w:i w:val="0"/>
          <w:smallCaps w:val="0"/>
          <w:strike w:val="0"/>
          <w:u w:val="none"/>
        </w:rPr>
        <w:t xml:space="preserve">.174 Also, as Professors Schechter and Thomas argue,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brand owners are the better cost distributors</w:t>
      </w:r>
      <w:r>
        <w:rPr>
          <w:b w:val="0"/>
          <w:i w:val="0"/>
          <w:smallCaps w:val="0"/>
          <w:strike w:val="0"/>
          <w:u w:val="none"/>
        </w:rPr>
        <w:t xml:space="preserve">.175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If marketplaces must absorb the cost of policing and paying compensation for infringement</w:t>
      </w:r>
      <w:r>
        <w:rPr>
          <w:b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the cost would likely be borne by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every user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since such cost would likely be distributed across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all goods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sold</w:t>
      </w:r>
      <w:r>
        <w:rPr>
          <w:b/>
          <w:i w:val="0"/>
          <w:smallCaps w:val="0"/>
          <w:strike w:val="0"/>
          <w:sz w:val="22"/>
          <w:u w:val="single"/>
        </w:rPr>
        <w:t xml:space="preserve"> in the marketplace.</w:t>
      </w:r>
      <w:r>
        <w:rPr>
          <w:b w:val="0"/>
          <w:i w:val="0"/>
          <w:smallCaps w:val="0"/>
          <w:strike w:val="0"/>
          <w:u w:val="none"/>
        </w:rPr>
        <w:t>176 Whereas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, if brands—like Tiffany—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absorb the cost, only consumers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that brand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would bear the cost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since the cost would be distributed across all of that brand’s genuine goods.177 </w:t>
      </w:r>
    </w:p>
    <w:p>
      <w:pPr>
        <w:pStyle w:val="Caption"/>
      </w:pPr>
      <w:r>
        <w:t>Source: Inflation DA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