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Repeat infringer requirements cause a flood of litigation over investigations and compliance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Matt </w:t>
      </w:r>
      <w:r>
        <w:rPr>
          <w:b/>
          <w:i w:val="0"/>
          <w:smallCaps w:val="0"/>
          <w:strike w:val="0"/>
          <w:sz w:val="26"/>
          <w:u w:val="none"/>
        </w:rPr>
        <w:t>Schruers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President Computer &amp; Communications Industry Association. Written Statement submitted to the Senate Judiciary Committee, “Back to School with the SHOP SAFE Act: Protecting Our Families from Unsafe Online Counterfeits” Senate Hearing, 10/3,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2.</w:t>
      </w:r>
      <w:r>
        <w:rPr>
          <w:b w:val="0"/>
          <w:i w:val="0"/>
          <w:smallCaps w:val="0"/>
          <w:strike w:val="0"/>
          <w:u w:val="none"/>
        </w:rPr>
        <w:tab/>
        <w:t xml:space="preserve">Repeat infringer policies are heavily service-dependent. Any </w:t>
      </w:r>
      <w:r>
        <w:rPr>
          <w:b/>
          <w:i w:val="0"/>
          <w:smallCaps w:val="0"/>
          <w:strike w:val="0"/>
          <w:sz w:val="22"/>
          <w:u w:val="single"/>
        </w:rPr>
        <w:t>'repeat infringer' policies</w:t>
      </w:r>
      <w:r>
        <w:rPr>
          <w:b/>
          <w:i w:val="0"/>
          <w:smallCaps w:val="0"/>
          <w:strike w:val="0"/>
          <w:sz w:val="22"/>
          <w:u w:val="single"/>
        </w:rPr>
        <w:t xml:space="preserve"> should be left flexible for each service to apply reasonably.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Requiring termination of a third-party seller for "repeated use of a counterfeit mark</w:t>
      </w:r>
      <w:r>
        <w:rPr>
          <w:b w:val="0"/>
          <w:i w:val="0"/>
          <w:smallCaps w:val="0"/>
          <w:strike w:val="0"/>
          <w:u w:val="none"/>
        </w:rPr>
        <w:t>," broadly defined as "three separate listings within one year</w:t>
      </w:r>
      <w:r>
        <w:rPr>
          <w:b/>
          <w:i w:val="0"/>
          <w:smallCaps w:val="0"/>
          <w:strike w:val="0"/>
          <w:sz w:val="22"/>
          <w:u w:val="single"/>
        </w:rPr>
        <w:t xml:space="preserve">,"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 onerous for businesses</w:t>
      </w:r>
      <w:r>
        <w:rPr>
          <w:b/>
          <w:i w:val="0"/>
          <w:smallCaps w:val="0"/>
          <w:strike w:val="0"/>
          <w:sz w:val="22"/>
          <w:u w:val="single"/>
        </w:rPr>
        <w:t xml:space="preserve"> of all sizes,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draconian given the</w:t>
      </w:r>
      <w:r>
        <w:rPr>
          <w:b/>
          <w:i w:val="0"/>
          <w:smallCaps w:val="0"/>
          <w:strike w:val="0"/>
          <w:sz w:val="22"/>
          <w:u w:val="single"/>
        </w:rPr>
        <w:t xml:space="preserve"> enormous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volume of goods</w:t>
      </w:r>
      <w:r>
        <w:rPr>
          <w:b/>
          <w:i w:val="0"/>
          <w:smallCaps w:val="0"/>
          <w:strike w:val="0"/>
          <w:sz w:val="22"/>
          <w:u w:val="single"/>
        </w:rPr>
        <w:t xml:space="preserve"> sold or offered for sale online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Thi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 provision could invite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costly, time-consuming litigation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or burdensome investigations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over what is considered "mitigating circumstances" and decisions about whether to reinstate.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3.</w:t>
      </w:r>
      <w:r>
        <w:rPr>
          <w:b w:val="0"/>
          <w:i w:val="0"/>
          <w:smallCaps w:val="0"/>
          <w:strike w:val="0"/>
          <w:u w:val="none"/>
        </w:rPr>
        <w:tab/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There are many other provisions in the bill that explicitly invite litigation over fact-intensive decisions</w:t>
      </w:r>
      <w:r>
        <w:rPr>
          <w:b w:val="0"/>
          <w:i w:val="0"/>
          <w:smallCaps w:val="0"/>
          <w:strike w:val="0"/>
          <w:u w:val="none"/>
        </w:rPr>
        <w:t>, several times contemplating "any other factor considered relevant by a court". The provision on reinstating previously banned sellers includes a "verified decision" — how does a decision become verified? Another mentions "efforts the third-party seller takes to refute or resolve disputes once notified of a concern" — what constitutes "a concern" or its notification? How does one perform an "investigation" and how often must it be "periodically confirmed"?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