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Notice and notice increases compliance costs – brands will flood providers with too many notices and counterfeiters will still circumvent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Austin </w:t>
      </w:r>
      <w:r>
        <w:rPr>
          <w:b/>
          <w:i w:val="0"/>
          <w:smallCaps w:val="0"/>
          <w:strike w:val="0"/>
          <w:sz w:val="26"/>
          <w:u w:val="none"/>
        </w:rPr>
        <w:t>Church</w:t>
      </w:r>
      <w:r>
        <w:rPr>
          <w:b w:val="0"/>
          <w:i w:val="0"/>
          <w:smallCaps w:val="0"/>
          <w:strike w:val="0"/>
          <w:u w:val="none"/>
        </w:rPr>
        <w:t>, 20</w:t>
      </w:r>
      <w:r>
        <w:rPr>
          <w:b/>
          <w:i w:val="0"/>
          <w:smallCaps w:val="0"/>
          <w:strike w:val="0"/>
          <w:sz w:val="26"/>
          <w:u w:val="none"/>
        </w:rPr>
        <w:t>23</w:t>
      </w:r>
      <w:r>
        <w:rPr>
          <w:b w:val="0"/>
          <w:i w:val="0"/>
          <w:smallCaps w:val="0"/>
          <w:strike w:val="0"/>
          <w:u w:val="none"/>
        </w:rPr>
        <w:t xml:space="preserve"> – J.D. Candidate, Boston University School of Law “INCORPORATING A DEPOSIT MECHANISM INTO THE DIGITAL MILLENNIUM COPYRIGHT ACT TO FIGHT ONLINE COUNTERFEITING IN E-COMMERCE” BOSTON UNIVERSITY LAW REVIEW [Vol.103:935, Hein Online. Accessed via University of Michigan //DH</w:t>
      </w:r>
    </w:p>
    <w:p>
      <w:pPr>
        <w:spacing w:after="60"/>
      </w:pPr>
      <w:r>
        <w:rPr>
          <w:b/>
          <w:i w:val="0"/>
          <w:smallCaps w:val="0"/>
          <w:strike w:val="0"/>
          <w:sz w:val="22"/>
          <w:highlight w:val="cyan"/>
          <w:u w:val="single"/>
        </w:rPr>
        <w:t>Another proposal also suggests importing</w:t>
      </w:r>
      <w:r>
        <w:rPr>
          <w:b/>
          <w:i w:val="0"/>
          <w:smallCaps w:val="0"/>
          <w:strike w:val="0"/>
          <w:sz w:val="22"/>
          <w:u w:val="single"/>
        </w:rPr>
        <w:t xml:space="preserve"> much of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the DMCA into</w:t>
      </w:r>
      <w:r>
        <w:rPr>
          <w:b/>
          <w:i w:val="0"/>
          <w:smallCaps w:val="0"/>
          <w:strike w:val="0"/>
          <w:sz w:val="22"/>
          <w:u w:val="single"/>
        </w:rPr>
        <w:t xml:space="preserve"> the scheme for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contributory trademark liability</w:t>
      </w:r>
      <w:r>
        <w:rPr>
          <w:b w:val="0"/>
          <w:i w:val="0"/>
          <w:smallCaps w:val="0"/>
          <w:strike w:val="0"/>
          <w:u w:val="none"/>
        </w:rPr>
        <w:t xml:space="preserve"> for Online Marketplaces.134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This</w:t>
      </w:r>
      <w:r>
        <w:rPr>
          <w:b w:val="0"/>
          <w:i w:val="0"/>
          <w:smallCaps w:val="0"/>
          <w:strike w:val="0"/>
          <w:u w:val="none"/>
        </w:rPr>
        <w:t xml:space="preserve"> proposal </w:t>
      </w:r>
      <w:r>
        <w:rPr>
          <w:b/>
          <w:i w:val="0"/>
          <w:smallCaps w:val="0"/>
          <w:strike w:val="0"/>
          <w:sz w:val="22"/>
          <w:u w:val="single"/>
        </w:rPr>
        <w:t xml:space="preserve">alters the notice and takedown requirement and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suggests a notice and notice requirement wherein the service provider would forward the infringement claims to the proposed infringer</w:t>
      </w:r>
      <w:r>
        <w:rPr>
          <w:b w:val="0"/>
          <w:i w:val="0"/>
          <w:smallCaps w:val="0"/>
          <w:strike w:val="0"/>
          <w:u w:val="none"/>
        </w:rPr>
        <w:t xml:space="preserve">.135 </w:t>
      </w:r>
      <w:r>
        <w:rPr>
          <w:b w:val="0"/>
          <w:i w:val="0"/>
          <w:smallCaps w:val="0"/>
          <w:strike w:val="0"/>
          <w:u w:val="none"/>
        </w:rPr>
        <w:t>This would reduce some of the anticompetitive effects that can come from abuse of notice and takedown procedures.</w:t>
      </w:r>
      <w:r>
        <w:rPr>
          <w:b w:val="0"/>
          <w:i w:val="0"/>
          <w:smallCaps w:val="0"/>
          <w:strike w:val="0"/>
          <w:u w:val="none"/>
        </w:rPr>
        <w:t xml:space="preserve">136 The proposal also highlights that because it is often more difficult to discern whether trademark infringement has occurred in a listing, having a notice and notice scheme allows the potential infringer to defend themselves and resolve the issue before experiencing the damaging effects from unwarranted takedowns.137 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This proposal would have some benefits; however, </w:t>
      </w:r>
      <w:r>
        <w:rPr>
          <w:b/>
          <w:i w:val="0"/>
          <w:smallCaps w:val="0"/>
          <w:strike w:val="0"/>
          <w:sz w:val="22"/>
          <w:u w:val="single"/>
        </w:rPr>
        <w:t>the scheme is not a perfect match for</w:t>
      </w:r>
      <w:r>
        <w:rPr>
          <w:b w:val="0"/>
          <w:i w:val="0"/>
          <w:smallCaps w:val="0"/>
          <w:strike w:val="0"/>
          <w:u w:val="none"/>
        </w:rPr>
        <w:t xml:space="preserve"> its proposed goals and for </w:t>
      </w:r>
      <w:r>
        <w:rPr>
          <w:b/>
          <w:i w:val="0"/>
          <w:smallCaps w:val="0"/>
          <w:strike w:val="0"/>
          <w:sz w:val="22"/>
          <w:u w:val="single"/>
        </w:rPr>
        <w:t>ending online counterfeiting</w:t>
      </w:r>
      <w:r>
        <w:rPr>
          <w:b w:val="0"/>
          <w:i w:val="0"/>
          <w:smallCaps w:val="0"/>
          <w:strike w:val="0"/>
          <w:u w:val="none"/>
        </w:rPr>
        <w:t xml:space="preserve">. A big reason for the notice and notice proposal is to prevent abuse that notice and takedown regimes can incentivize. Unfortunately, abusive notices can still occur, although it is more difficult.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Parties receiving notices must respond to them, and bombarding parties with tons of notices can be expensive and difficult to respond to</w:t>
      </w:r>
      <w:r>
        <w:rPr>
          <w:b/>
          <w:i w:val="0"/>
          <w:smallCaps w:val="0"/>
          <w:strike w:val="0"/>
          <w:sz w:val="22"/>
          <w:u w:val="single"/>
        </w:rPr>
        <w:t>, especially if the notified party is a smaller business</w:t>
      </w:r>
      <w:r>
        <w:rPr>
          <w:b w:val="0"/>
          <w:i w:val="0"/>
          <w:smallCaps w:val="0"/>
          <w:strike w:val="0"/>
          <w:u w:val="none"/>
        </w:rPr>
        <w:t xml:space="preserve">. </w:t>
      </w:r>
      <w:r>
        <w:rPr>
          <w:b w:val="0"/>
          <w:i w:val="0"/>
          <w:smallCaps w:val="0"/>
          <w:strike w:val="0"/>
          <w:highlight w:val="cyan"/>
          <w:u w:val="none"/>
        </w:rPr>
        <w:t xml:space="preserve">A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notice and notice scheme would grant prolific counterfeiters an opportunity to post alternative listings and create new profiles before their faulty listings are removed</w:t>
      </w:r>
      <w:r>
        <w:rPr>
          <w:b/>
          <w:i w:val="0"/>
          <w:smallCaps w:val="0"/>
          <w:strike w:val="0"/>
          <w:sz w:val="22"/>
          <w:u w:val="single"/>
        </w:rPr>
        <w:t xml:space="preserve"> from the relevant platform</w:t>
      </w:r>
      <w:r>
        <w:rPr>
          <w:b w:val="0"/>
          <w:i w:val="0"/>
          <w:smallCaps w:val="0"/>
          <w:strike w:val="0"/>
          <w:u w:val="none"/>
        </w:rPr>
        <w:t xml:space="preserve">. </w:t>
      </w:r>
    </w:p>
    <w:p>
      <w:pPr>
        <w:pStyle w:val="Caption"/>
      </w:pPr>
      <w:r>
        <w:t>Source: Inflation DA - Michigan 2024 STARTER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