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Small platforms don’t have automated takedown systems</w:t>
      </w:r>
    </w:p>
    <w:p>
      <w:pPr>
        <w:spacing w:after="80"/>
      </w:pPr>
      <w:r>
        <w:rPr>
          <w:b w:val="0"/>
          <w:i w:val="0"/>
          <w:smallCaps w:val="0"/>
          <w:strike w:val="0"/>
          <w:u w:val="none"/>
        </w:rPr>
        <w:t xml:space="preserve">Sonia K </w:t>
      </w:r>
      <w:r>
        <w:rPr>
          <w:b/>
          <w:i w:val="0"/>
          <w:smallCaps w:val="0"/>
          <w:strike w:val="0"/>
          <w:sz w:val="26"/>
          <w:u w:val="none"/>
        </w:rPr>
        <w:t>Katyal &amp;</w:t>
      </w:r>
      <w:r>
        <w:rPr>
          <w:b w:val="0"/>
          <w:i w:val="0"/>
          <w:smallCaps w:val="0"/>
          <w:strike w:val="0"/>
          <w:u w:val="none"/>
        </w:rPr>
        <w:t xml:space="preserve"> Leah Chan </w:t>
      </w:r>
      <w:r>
        <w:rPr>
          <w:b/>
          <w:i w:val="0"/>
          <w:smallCaps w:val="0"/>
          <w:strike w:val="0"/>
          <w:sz w:val="26"/>
          <w:u w:val="none"/>
        </w:rPr>
        <w:t>Grinvald,</w:t>
      </w:r>
      <w:r>
        <w:rPr>
          <w:b w:val="0"/>
          <w:i w:val="0"/>
          <w:smallCaps w:val="0"/>
          <w:strike w:val="0"/>
          <w:u w:val="none"/>
        </w:rPr>
        <w:t xml:space="preserve"> 20</w:t>
      </w:r>
      <w:r>
        <w:rPr>
          <w:b/>
          <w:i w:val="0"/>
          <w:smallCaps w:val="0"/>
          <w:strike w:val="0"/>
          <w:sz w:val="26"/>
          <w:u w:val="none"/>
        </w:rPr>
        <w:t>18</w:t>
      </w:r>
      <w:r>
        <w:rPr>
          <w:b w:val="0"/>
          <w:i w:val="0"/>
          <w:smallCaps w:val="0"/>
          <w:strike w:val="0"/>
          <w:u w:val="none"/>
        </w:rPr>
        <w:t xml:space="preserve"> - *Chancellor's Professor of Law; Co-Director, Berkeley Center for Law and Technology, University of California, Berkeley AND **Associate Dean for Academic Affairs and Professor of Law, Suffolk University Law School. “PLATFORM LAW AND THE BRAND ENTERPRISE” BERKELEY TECHNOLOGY LAW JOURNAL [Vol. 32:1135, </w:t>
      </w:r>
      <w:r>
        <w:rPr>
          <w:b w:val="0"/>
          <w:i w:val="0"/>
          <w:smallCaps w:val="0"/>
          <w:strike w:val="0"/>
          <w:u w:val="none"/>
        </w:rPr>
        <w:t xml:space="preserve"> //DH</w:t>
      </w:r>
    </w:p>
    <w:p>
      <w:pPr>
        <w:spacing w:after="60"/>
      </w:pPr>
      <w:r>
        <w:rPr>
          <w:b w:val="0"/>
          <w:i w:val="0"/>
          <w:smallCaps w:val="0"/>
          <w:strike w:val="0"/>
          <w:u w:val="none"/>
        </w:rPr>
        <w:t xml:space="preserve">In the context of platforms, many scholars and commentators have raised the question of whether there is a hierarchical distinction between the "platform owner" and the entrepreneurs and contractors that facilitate this economy.' 52 The same question, we argue, might also be posed in the trademark arena, that is, whether our system of contributory liability, as well intended as it might be, facilitates the formation of an unequal system that extends the benefits of trademark protection and enforcement to a few, but radically undervalues the contributions of the mini entrepreneurs that characterize platform vitality. </w:t>
      </w:r>
      <w:r>
        <w:rPr>
          <w:b/>
          <w:i w:val="0"/>
          <w:smallCaps w:val="0"/>
          <w:strike w:val="0"/>
          <w:sz w:val="22"/>
          <w:highlight w:val="cyan"/>
          <w:u w:val="single"/>
        </w:rPr>
        <w:t>The absence of statutory safe harbors</w:t>
      </w:r>
      <w:r>
        <w:rPr>
          <w:b/>
          <w:i w:val="0"/>
          <w:smallCaps w:val="0"/>
          <w:strike w:val="0"/>
          <w:sz w:val="22"/>
          <w:u w:val="single"/>
        </w:rPr>
        <w:t xml:space="preserve"> in the trademark context</w:t>
      </w:r>
      <w:r>
        <w:rPr>
          <w:b w:val="0"/>
          <w:i w:val="0"/>
          <w:smallCaps w:val="0"/>
          <w:strike w:val="0"/>
          <w:u w:val="none"/>
        </w:rPr>
        <w:t xml:space="preserve"> often </w:t>
      </w:r>
      <w:r>
        <w:rPr>
          <w:b/>
          <w:i w:val="0"/>
          <w:smallCaps w:val="0"/>
          <w:strike w:val="0"/>
          <w:sz w:val="22"/>
          <w:highlight w:val="cyan"/>
          <w:u w:val="single"/>
        </w:rPr>
        <w:t xml:space="preserve">has a particularly deleterious effect on smaller ISPs </w:t>
      </w:r>
      <w:r>
        <w:rPr>
          <w:b/>
          <w:i w:val="0"/>
          <w:smallCaps w:val="0"/>
          <w:strike w:val="0"/>
          <w:sz w:val="22"/>
          <w:u w:val="single"/>
        </w:rPr>
        <w:t>and</w:t>
      </w:r>
      <w:r>
        <w:rPr>
          <w:b/>
          <w:i w:val="0"/>
          <w:smallCaps w:val="0"/>
          <w:strike w:val="0"/>
          <w:sz w:val="22"/>
          <w:u w:val="single"/>
        </w:rPr>
        <w:t xml:space="preserve"> related platforms</w:t>
      </w:r>
      <w:r>
        <w:rPr>
          <w:b w:val="0"/>
          <w:i w:val="0"/>
          <w:smallCaps w:val="0"/>
          <w:strike w:val="0"/>
          <w:u w:val="none"/>
        </w:rPr>
        <w:t xml:space="preserve">, who may face different challenges </w:t>
      </w:r>
      <w:r>
        <w:rPr>
          <w:b/>
          <w:i w:val="0"/>
          <w:smallCaps w:val="0"/>
          <w:strike w:val="0"/>
          <w:sz w:val="22"/>
          <w:u w:val="single"/>
        </w:rPr>
        <w:t>based on their limited legal resources.</w:t>
      </w:r>
      <w:r>
        <w:rPr>
          <w:b w:val="0"/>
          <w:i w:val="0"/>
          <w:smallCaps w:val="0"/>
          <w:strike w:val="0"/>
          <w:u w:val="none"/>
        </w:rPr>
        <w:t xml:space="preserve"> 15 3 Many </w:t>
      </w:r>
      <w:r>
        <w:rPr>
          <w:b/>
          <w:i w:val="0"/>
          <w:smallCaps w:val="0"/>
          <w:strike w:val="0"/>
          <w:sz w:val="24"/>
          <w:highlight w:val="cyan"/>
          <w:u w:val="single"/>
        </w:rPr>
        <w:t>smaller ISPs do not have automated systems</w:t>
      </w:r>
      <w:r>
        <w:rPr>
          <w:b w:val="0"/>
          <w:i w:val="0"/>
          <w:smallCaps w:val="0"/>
          <w:strike w:val="0"/>
          <w:highlight w:val="cyan"/>
          <w:u w:val="none"/>
        </w:rPr>
        <w:t xml:space="preserve"> </w:t>
      </w:r>
      <w:r>
        <w:rPr>
          <w:b/>
          <w:i w:val="0"/>
          <w:smallCaps w:val="0"/>
          <w:strike w:val="0"/>
          <w:sz w:val="22"/>
          <w:highlight w:val="cyan"/>
          <w:u w:val="single"/>
        </w:rPr>
        <w:t>to respond to 512 notices</w:t>
      </w:r>
      <w:r>
        <w:rPr>
          <w:b w:val="0"/>
          <w:i w:val="0"/>
          <w:smallCaps w:val="0"/>
          <w:strike w:val="0"/>
          <w:u w:val="none"/>
        </w:rPr>
        <w:t xml:space="preserve">, </w:t>
      </w:r>
      <w:r>
        <w:rPr>
          <w:b/>
          <w:i w:val="0"/>
          <w:smallCaps w:val="0"/>
          <w:strike w:val="0"/>
          <w:sz w:val="22"/>
          <w:highlight w:val="cyan"/>
          <w:u w:val="single"/>
        </w:rPr>
        <w:t>and</w:t>
      </w:r>
      <w:r>
        <w:rPr>
          <w:b/>
          <w:i w:val="0"/>
          <w:smallCaps w:val="0"/>
          <w:strike w:val="0"/>
          <w:sz w:val="22"/>
          <w:u w:val="single"/>
        </w:rPr>
        <w:t xml:space="preserve"> therefore </w:t>
      </w:r>
      <w:r>
        <w:rPr>
          <w:b/>
          <w:i w:val="0"/>
          <w:smallCaps w:val="0"/>
          <w:strike w:val="0"/>
          <w:sz w:val="22"/>
          <w:highlight w:val="cyan"/>
          <w:u w:val="single"/>
        </w:rPr>
        <w:t>an attention to the diversity of ISP platforms is especially critical</w:t>
      </w:r>
      <w:r>
        <w:rPr>
          <w:b w:val="0"/>
          <w:i w:val="0"/>
          <w:smallCaps w:val="0"/>
          <w:strike w:val="0"/>
          <w:u w:val="none"/>
        </w:rPr>
        <w:t xml:space="preserve"> in considering how to design better systems of notification and enforcement. 154</w:t>
      </w:r>
    </w:p>
    <w:p>
      <w:pPr>
        <w:pStyle w:val="Caption"/>
      </w:pPr>
      <w:r>
        <w:t>Source: Inflation DA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