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Judges and online platforms are curtailing the use of SAD cases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Bea </w:t>
      </w:r>
      <w:r>
        <w:rPr>
          <w:b/>
          <w:i w:val="0"/>
          <w:smallCaps w:val="0"/>
          <w:strike w:val="0"/>
          <w:sz w:val="26"/>
          <w:u w:val="none"/>
        </w:rPr>
        <w:t>Swedlow and</w:t>
      </w:r>
      <w:r>
        <w:rPr>
          <w:b w:val="0"/>
          <w:i w:val="0"/>
          <w:smallCaps w:val="0"/>
          <w:strike w:val="0"/>
          <w:u w:val="none"/>
        </w:rPr>
        <w:t xml:space="preserve"> David </w:t>
      </w:r>
      <w:r>
        <w:rPr>
          <w:b/>
          <w:i w:val="0"/>
          <w:smallCaps w:val="0"/>
          <w:strike w:val="0"/>
          <w:sz w:val="26"/>
          <w:u w:val="none"/>
        </w:rPr>
        <w:t>Roulo,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Bea Swedlow is a partner and David Roulo is an associate at Honigman LLP“Concerns Emerging On TM Cases Against Undisclosed Parties” Law360 Expert Analysis - Corporate, 6/21, Nexis Uni, accessed via University of Michigan //DH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Third-Party Service Providers Are Objecting to the Remedies in Schedule A Cases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Courts are not alone in pushing back</w:t>
      </w:r>
      <w:r>
        <w:rPr>
          <w:b/>
          <w:i w:val="0"/>
          <w:smallCaps w:val="0"/>
          <w:strike w:val="0"/>
          <w:sz w:val="22"/>
          <w:u w:val="single"/>
        </w:rPr>
        <w:t xml:space="preserve"> on these cases</w:t>
      </w:r>
      <w:r>
        <w:rPr>
          <w:b w:val="0"/>
          <w:i w:val="0"/>
          <w:smallCaps w:val="0"/>
          <w:strike w:val="0"/>
          <w:u w:val="none"/>
        </w:rPr>
        <w:t xml:space="preserve">. As discussed above,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plaintiffs</w:t>
      </w:r>
      <w:r>
        <w:rPr>
          <w:b w:val="0"/>
          <w:i w:val="0"/>
          <w:smallCaps w:val="0"/>
          <w:strike w:val="0"/>
          <w:u w:val="none"/>
        </w:rPr>
        <w:t xml:space="preserve"> generally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seek an order</w:t>
      </w:r>
      <w:r>
        <w:rPr>
          <w:b w:val="0"/>
          <w:i w:val="0"/>
          <w:smallCaps w:val="0"/>
          <w:strike w:val="0"/>
          <w:u w:val="none"/>
        </w:rPr>
        <w:t xml:space="preserve"> directed to third-party domain name providers requiring they disable defendants' webpages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 e-commerce platforms to freeze defendants' assets</w:t>
      </w:r>
      <w:r>
        <w:rPr>
          <w:b/>
          <w:i w:val="0"/>
          <w:smallCaps w:val="0"/>
          <w:strike w:val="0"/>
          <w:sz w:val="22"/>
          <w:u w:val="single"/>
        </w:rPr>
        <w:t>. This is critical</w:t>
      </w:r>
      <w:r>
        <w:rPr>
          <w:b w:val="0"/>
          <w:i w:val="0"/>
          <w:smallCaps w:val="0"/>
          <w:strike w:val="0"/>
          <w:u w:val="none"/>
        </w:rPr>
        <w:t xml:space="preserve"> to plaintiffs' recovery </w:t>
      </w:r>
      <w:r>
        <w:rPr>
          <w:b/>
          <w:i w:val="0"/>
          <w:smallCaps w:val="0"/>
          <w:strike w:val="0"/>
          <w:sz w:val="22"/>
          <w:u w:val="single"/>
        </w:rPr>
        <w:t>because, without appearing, plaintiffs can never discover the identity of the defendants</w:t>
      </w:r>
      <w:r>
        <w:rPr>
          <w:b w:val="0"/>
          <w:i w:val="0"/>
          <w:smallCaps w:val="0"/>
          <w:strike w:val="0"/>
          <w:u w:val="none"/>
        </w:rPr>
        <w:t>. Thus, plaintiffs only recovery comes from the seizure of assets frozen in connection with the TRO/PI. Though some courts express concern with asset freezes so early in a case, they have generally complied with plaintiffs' requests.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2"/>
          <w:u w:val="single"/>
        </w:rPr>
        <w:t xml:space="preserve"> outcome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changes when third-party platforms object</w:t>
      </w:r>
      <w:r>
        <w:rPr>
          <w:b w:val="0"/>
          <w:i w:val="0"/>
          <w:smallCaps w:val="0"/>
          <w:strike w:val="0"/>
          <w:u w:val="none"/>
        </w:rPr>
        <w:t xml:space="preserve">. In February, </w:t>
      </w:r>
      <w:r>
        <w:rPr>
          <w:b/>
          <w:i w:val="0"/>
          <w:smallCaps w:val="0"/>
          <w:strike w:val="0"/>
          <w:sz w:val="22"/>
          <w:u w:val="single"/>
        </w:rPr>
        <w:t>MD LLC brought another Schedule A case</w:t>
      </w:r>
      <w:r>
        <w:rPr>
          <w:b w:val="0"/>
          <w:i w:val="0"/>
          <w:smallCaps w:val="0"/>
          <w:strike w:val="0"/>
          <w:u w:val="none"/>
        </w:rPr>
        <w:t xml:space="preserve">, filing the standard TRO/PI motion.[30] MD argued the TRO should cover the online marketplaces because they provide the service the defendants use to sell the counterfeit products.[31] Three nonparties, 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eBay, </w:t>
      </w:r>
      <w:r>
        <w:rPr>
          <w:b/>
          <w:i w:val="0"/>
          <w:smallCaps w:val="0"/>
          <w:strike w:val="0"/>
          <w:sz w:val="22"/>
          <w:u w:val="single"/>
        </w:rPr>
        <w:t>appeared and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objected, arguing the asset freeze was "overbroad</w:t>
      </w:r>
      <w:r>
        <w:rPr>
          <w:b w:val="0"/>
          <w:i w:val="0"/>
          <w:smallCaps w:val="0"/>
          <w:strike w:val="0"/>
          <w:highlight w:val="cyan"/>
          <w:u w:val="none"/>
        </w:rPr>
        <w:t>."[</w:t>
      </w:r>
      <w:r>
        <w:rPr>
          <w:b w:val="0"/>
          <w:i w:val="0"/>
          <w:smallCaps w:val="0"/>
          <w:strike w:val="0"/>
          <w:u w:val="none"/>
        </w:rPr>
        <w:t>32]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objection worked - at least temporarily. On May 4, the court granted the TRO as to all non-objecting nonparties, but denied the injunction as to the objectors, at least temporarily, and ordered expedited discovery on the issue.[33] Discovery and briefing on the issue concluded on June 20.[34] 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outcome of eBay's motion could result in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seismic shift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the incentive for parties</w:t>
      </w:r>
      <w:r>
        <w:rPr>
          <w:b w:val="0"/>
          <w:i w:val="0"/>
          <w:smallCaps w:val="0"/>
          <w:strike w:val="0"/>
          <w:u w:val="none"/>
        </w:rPr>
        <w:t xml:space="preserve"> and firms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file these suits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