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current liability regime passes higher costs onto consumers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Haodi </w:t>
      </w:r>
      <w:r>
        <w:rPr>
          <w:b/>
          <w:i w:val="0"/>
          <w:smallCaps w:val="0"/>
          <w:strike w:val="0"/>
          <w:sz w:val="26"/>
          <w:u w:val="none"/>
        </w:rPr>
        <w:t>Dong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J.D., 2022, Wake Forest University School of Law. “BALANCING THE INTERESTS OF TRADEMARK OWNERS AND E-COMMERCE PLATFORMS DURING THE INTERNET AGE” Wake Forest Journal of Business &amp; Intellectual Property Law, Spring,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Yet,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giving trademark owners a greater obligation to prove infringement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result in greater costs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since it is</w:t>
      </w:r>
      <w:r>
        <w:rPr>
          <w:b/>
          <w:i w:val="0"/>
          <w:smallCaps w:val="0"/>
          <w:strike w:val="0"/>
          <w:sz w:val="22"/>
          <w:u w:val="single"/>
        </w:rPr>
        <w:t xml:space="preserve"> often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impossible to prove infringement absent direct evidence</w:t>
      </w:r>
      <w:r>
        <w:rPr>
          <w:b w:val="0"/>
          <w:i w:val="0"/>
          <w:smallCaps w:val="0"/>
          <w:strike w:val="0"/>
          <w:u w:val="none"/>
        </w:rPr>
        <w:t xml:space="preserve">.120 Under this framework,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trademark owners would</w:t>
      </w:r>
      <w:r>
        <w:rPr>
          <w:b/>
          <w:i w:val="0"/>
          <w:smallCaps w:val="0"/>
          <w:strike w:val="0"/>
          <w:sz w:val="22"/>
          <w:u w:val="single"/>
        </w:rPr>
        <w:t xml:space="preserve"> likely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need to buy the product first</w:t>
      </w:r>
      <w:r>
        <w:rPr>
          <w:b/>
          <w:i w:val="0"/>
          <w:smallCaps w:val="0"/>
          <w:strike w:val="0"/>
          <w:sz w:val="22"/>
          <w:u w:val="single"/>
        </w:rPr>
        <w:t xml:space="preserve"> and prove that it is a counterfeit that infringes on their mark.</w:t>
      </w:r>
      <w:r>
        <w:rPr>
          <w:b w:val="0"/>
          <w:i w:val="0"/>
          <w:smallCaps w:val="0"/>
          <w:strike w:val="0"/>
          <w:u w:val="none"/>
        </w:rPr>
        <w:t xml:space="preserve">121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They would</w:t>
      </w:r>
      <w:r>
        <w:rPr>
          <w:b/>
          <w:i w:val="0"/>
          <w:smallCaps w:val="0"/>
          <w:strike w:val="0"/>
          <w:sz w:val="22"/>
          <w:u w:val="single"/>
        </w:rPr>
        <w:t xml:space="preserve"> then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 xml:space="preserve">pass this extra cost on to </w:t>
      </w:r>
      <w:r>
        <w:rPr>
          <w:b/>
          <w:i w:val="0"/>
          <w:smallCaps w:val="0"/>
          <w:strike w:val="0"/>
          <w:sz w:val="24"/>
          <w:u w:val="single"/>
        </w:rPr>
        <w:t xml:space="preserve">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consumers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u w:val="single"/>
        </w:rPr>
        <w:t xml:space="preserve">the form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higher prices</w:t>
      </w:r>
      <w:r>
        <w:rPr>
          <w:b w:val="0"/>
          <w:i w:val="0"/>
          <w:smallCaps w:val="0"/>
          <w:strike w:val="0"/>
          <w:u w:val="none"/>
        </w:rPr>
        <w:t>.122 However, apart from trademark owners, no one has the same expertise in determining the authenticity of a product.123 Given this expertise, trademark owners need to bear at least some responsibility in spotting or proving infringement.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