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Savings and risk management make the economy resilient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Caldwell 24</w:t>
      </w:r>
      <w:r>
        <w:rPr>
          <w:b w:val="0"/>
          <w:i w:val="0"/>
          <w:smallCaps w:val="0"/>
          <w:strike w:val="0"/>
          <w:u w:val="none"/>
        </w:rPr>
        <w:t xml:space="preserve"> (Preston Caldwell is senior U.S. economist for Morningstar Research Services LLC. “4 Reasons the Economy Has Been Resilient to Higher Interest Rates” 5/7/2024. Accessed 6/18/2024.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 Fed’s</w:t>
      </w:r>
      <w:r>
        <w:rPr>
          <w:b/>
          <w:i w:val="0"/>
          <w:smallCaps w:val="0"/>
          <w:strike w:val="0"/>
          <w:sz w:val="22"/>
          <w:u w:val="single"/>
        </w:rPr>
        <w:t xml:space="preserve"> largest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fastest rate-hike</w:t>
      </w:r>
      <w:r>
        <w:rPr>
          <w:b w:val="0"/>
          <w:i w:val="0"/>
          <w:smallCaps w:val="0"/>
          <w:strike w:val="0"/>
          <w:u w:val="none"/>
        </w:rPr>
        <w:t xml:space="preserve"> cycle in 40 years—a 5.25% fed-funds rate increase between March 2022 and July 2023—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u w:val="none"/>
        </w:rPr>
        <w:t xml:space="preserve"> widely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expected to generate a recession</w:t>
      </w:r>
      <w:r>
        <w:rPr>
          <w:b w:val="0"/>
          <w:i w:val="0"/>
          <w:smallCaps w:val="0"/>
          <w:strike w:val="0"/>
          <w:u w:val="none"/>
        </w:rPr>
        <w:t xml:space="preserve"> in 2023.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Yet</w:t>
      </w:r>
      <w:r>
        <w:rPr>
          <w:b/>
          <w:i w:val="0"/>
          <w:smallCaps w:val="0"/>
          <w:strike w:val="0"/>
          <w:sz w:val="22"/>
          <w:u w:val="single"/>
        </w:rPr>
        <w:t>, real g</w:t>
      </w:r>
      <w:r>
        <w:rPr>
          <w:b w:val="0"/>
          <w:i w:val="0"/>
          <w:smallCaps w:val="0"/>
          <w:strike w:val="0"/>
          <w:u w:val="none"/>
        </w:rPr>
        <w:t>ross</w:t>
      </w:r>
      <w:r>
        <w:rPr>
          <w:b/>
          <w:i w:val="0"/>
          <w:smallCaps w:val="0"/>
          <w:strike w:val="0"/>
          <w:sz w:val="22"/>
          <w:u w:val="single"/>
        </w:rPr>
        <w:t xml:space="preserve"> d</w:t>
      </w:r>
      <w:r>
        <w:rPr>
          <w:b w:val="0"/>
          <w:i w:val="0"/>
          <w:smallCaps w:val="0"/>
          <w:strike w:val="0"/>
          <w:u w:val="none"/>
        </w:rPr>
        <w:t>omestic</w:t>
      </w:r>
      <w:r>
        <w:rPr>
          <w:b/>
          <w:i w:val="0"/>
          <w:smallCaps w:val="0"/>
          <w:strike w:val="0"/>
          <w:sz w:val="22"/>
          <w:u w:val="single"/>
        </w:rPr>
        <w:t xml:space="preserve"> p</w:t>
      </w:r>
      <w:r>
        <w:rPr>
          <w:b w:val="0"/>
          <w:i w:val="0"/>
          <w:smallCaps w:val="0"/>
          <w:strike w:val="0"/>
          <w:u w:val="none"/>
        </w:rPr>
        <w:t xml:space="preserve">roduct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growth defied expectations</w:t>
      </w:r>
      <w:r>
        <w:rPr>
          <w:b w:val="0"/>
          <w:i w:val="0"/>
          <w:smallCaps w:val="0"/>
          <w:strike w:val="0"/>
          <w:u w:val="none"/>
        </w:rPr>
        <w:t xml:space="preserve"> by accelerating to 2.5% in 2023 from 1.9% in 2022.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why has the economy been so resilient</w:t>
      </w:r>
      <w:r>
        <w:rPr>
          <w:b w:val="0"/>
          <w:i w:val="0"/>
          <w:smallCaps w:val="0"/>
          <w:strike w:val="0"/>
          <w:u w:val="none"/>
        </w:rPr>
        <w:t xml:space="preserve"> to these higher interest rates?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We attribute it to four key factors: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1.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Households accumulated excess savings</w:t>
      </w:r>
      <w:r>
        <w:rPr>
          <w:b w:val="0"/>
          <w:i w:val="0"/>
          <w:smallCaps w:val="0"/>
          <w:strike w:val="0"/>
          <w:u w:val="none"/>
        </w:rPr>
        <w:t xml:space="preserve"> during the pandemic and businesses boosted cash holdings, </w:t>
      </w:r>
      <w:r>
        <w:rPr>
          <w:b/>
          <w:i w:val="0"/>
          <w:smallCaps w:val="0"/>
          <w:strike w:val="0"/>
          <w:sz w:val="22"/>
          <w:u w:val="single"/>
        </w:rPr>
        <w:t>which are now being spent.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2. Many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borrowers are locked into low rates</w:t>
      </w:r>
      <w:r>
        <w:rPr>
          <w:b w:val="0"/>
          <w:i w:val="0"/>
          <w:smallCaps w:val="0"/>
          <w:strike w:val="0"/>
          <w:u w:val="none"/>
        </w:rPr>
        <w:t>, such as mortgages and corporate bonds, for which the interest burden remains low.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3.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Risky asset prices have held firm</w:t>
      </w:r>
      <w:r>
        <w:rPr>
          <w:b/>
          <w:i w:val="0"/>
          <w:smallCaps w:val="0"/>
          <w:strike w:val="0"/>
          <w:sz w:val="22"/>
          <w:u w:val="single"/>
        </w:rPr>
        <w:t>, meaning that risky premia have compressed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4.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reduction of risky shadow banking activities</w:t>
      </w:r>
      <w:r>
        <w:rPr>
          <w:b w:val="0"/>
          <w:i w:val="0"/>
          <w:smallCaps w:val="0"/>
          <w:strike w:val="0"/>
          <w:u w:val="none"/>
        </w:rPr>
        <w:t xml:space="preserve"> (activities outside the traditional banking sector)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has rendered the financial system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less vulnerable to shocks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