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Inter partes review improperly delegates judicial functions to administrative agencies---making IPR proceedings </w:t>
      </w:r>
      <w:r>
        <w:rPr>
          <w:b/>
          <w:i w:val="0"/>
          <w:smallCaps w:val="0"/>
          <w:strike w:val="0"/>
          <w:sz w:val="24"/>
          <w:u w:val="single"/>
        </w:rPr>
        <w:t>advisory</w:t>
      </w:r>
      <w:r>
        <w:rPr>
          <w:b/>
          <w:i w:val="0"/>
          <w:smallCaps w:val="0"/>
          <w:strike w:val="0"/>
          <w:sz w:val="24"/>
          <w:u w:val="none"/>
        </w:rPr>
        <w:t xml:space="preserve"> solves, avoids the trolls DA, and </w:t>
      </w:r>
      <w:r>
        <w:rPr>
          <w:b/>
          <w:i w:val="0"/>
          <w:smallCaps w:val="0"/>
          <w:strike w:val="0"/>
          <w:sz w:val="24"/>
          <w:u w:val="single"/>
        </w:rPr>
        <w:t>broadly</w:t>
      </w:r>
      <w:r>
        <w:rPr>
          <w:b/>
          <w:i w:val="0"/>
          <w:smallCaps w:val="0"/>
          <w:strike w:val="0"/>
          <w:sz w:val="24"/>
          <w:u w:val="none"/>
        </w:rPr>
        <w:t xml:space="preserve"> cabins delegation of Article III judicial functions to agencies </w:t>
      </w:r>
    </w:p>
    <w:p>
      <w:pPr>
        <w:spacing w:after="80"/>
      </w:pPr>
      <w:r>
        <w:rPr>
          <w:b w:val="0"/>
          <w:i w:val="0"/>
          <w:smallCaps w:val="0"/>
          <w:strike w:val="0"/>
          <w:sz w:val="20"/>
          <w:u w:val="none"/>
        </w:rPr>
        <w:t xml:space="preserve">J. Carl </w:t>
      </w:r>
      <w:r>
        <w:rPr>
          <w:b/>
          <w:i w:val="0"/>
          <w:smallCaps w:val="0"/>
          <w:strike w:val="0"/>
          <w:sz w:val="24"/>
          <w:u w:val="none"/>
        </w:rPr>
        <w:t>Cooper 16</w:t>
      </w:r>
      <w:r>
        <w:rPr>
          <w:b w:val="0"/>
          <w:i w:val="0"/>
          <w:smallCaps w:val="0"/>
          <w:strike w:val="0"/>
          <w:sz w:val="20"/>
          <w:u w:val="none"/>
        </w:rPr>
        <w:t xml:space="preserve">, Pixel Instruments Corporation, January 2016, Petition for Writ of Certiorari to the United States Supreme Court, J. Carl Cooper and </w:t>
      </w:r>
      <w:r>
        <w:rPr>
          <w:b w:val="0"/>
          <w:i w:val="0"/>
          <w:smallCaps w:val="0"/>
          <w:strike w:val="0"/>
          <w:sz w:val="20"/>
          <w:u w:val="none"/>
        </w:rPr>
        <w:t>eCharge</w:t>
      </w:r>
      <w:r>
        <w:rPr>
          <w:b w:val="0"/>
          <w:i w:val="0"/>
          <w:smallCaps w:val="0"/>
          <w:strike w:val="0"/>
          <w:sz w:val="20"/>
          <w:u w:val="none"/>
        </w:rPr>
        <w:t xml:space="preserve"> Licensing LLC, petitioners, vs Michelle K. Lee, in her capacity as Director of the United States Patent and Trademark Office, and the United States Patent and Trademark Office, Robert P. Greenspoon counsel of record, https://cdn.patentlyo.com/media/2016/01/CooperVLee.pdf /</w:t>
      </w:r>
      <w:r>
        <w:rPr>
          <w:b w:val="0"/>
          <w:i w:val="0"/>
          <w:smallCaps w:val="0"/>
          <w:strike w:val="0"/>
          <w:sz w:val="20"/>
          <w:u w:val="none"/>
        </w:rPr>
        <w:t>jpb</w:t>
      </w:r>
    </w:p>
    <w:p>
      <w:pPr>
        <w:spacing w:after="60"/>
      </w:pPr>
      <w:r>
        <w:rPr>
          <w:b w:val="0"/>
          <w:i w:val="0"/>
          <w:smallCaps w:val="0"/>
          <w:strike w:val="0"/>
          <w:sz w:val="16"/>
          <w:u w:val="none"/>
        </w:rPr>
        <w:t>This case raises a constitutional challenge to new post-grant patent proceedings. This Court has just granted certiorari to review statutory and discretionary matters within such proceedings. See Cuozzo Speed Techs., LLC v. Lee, No. 15-446 (cert. granted January 15, 2016). It stands to reason that the Court should, in addition, analyze constitutional validity. This Court may thus hear the two cases together, the one raising smaller issues (Cuozzo) alongside the one raising larger issues (this case). That would secure a more complete vetting of administrative agency authority.</w:t>
      </w:r>
    </w:p>
    <w:p>
      <w:pPr>
        <w:spacing w:after="60"/>
      </w:pPr>
      <w:r>
        <w:rPr>
          <w:b w:val="0"/>
          <w:i w:val="0"/>
          <w:smallCaps w:val="0"/>
          <w:strike w:val="0"/>
          <w:sz w:val="20"/>
          <w:highlight w:val="cyan"/>
          <w:u w:val="single"/>
        </w:rPr>
        <w:t>Confusion over</w:t>
      </w:r>
      <w:r>
        <w:rPr>
          <w:b w:val="0"/>
          <w:i w:val="0"/>
          <w:smallCaps w:val="0"/>
          <w:strike w:val="0"/>
          <w:sz w:val="16"/>
          <w:u w:val="none"/>
        </w:rPr>
        <w:t xml:space="preserve"> this Court’s Article III “</w:t>
      </w:r>
      <w:r>
        <w:rPr>
          <w:b w:val="0"/>
          <w:i w:val="0"/>
          <w:smallCaps w:val="0"/>
          <w:strike w:val="0"/>
          <w:sz w:val="20"/>
          <w:highlight w:val="cyan"/>
          <w:u w:val="single"/>
        </w:rPr>
        <w:t xml:space="preserve">public rights” jurisprudence </w:t>
      </w:r>
      <w:r>
        <w:rPr>
          <w:b w:val="0"/>
          <w:i w:val="0"/>
          <w:smallCaps w:val="0"/>
          <w:strike w:val="0"/>
          <w:sz w:val="20"/>
          <w:highlight w:val="cyan"/>
          <w:u w:val="single"/>
        </w:rPr>
        <w:t>reached its apex</w:t>
      </w:r>
      <w:r>
        <w:rPr>
          <w:b w:val="0"/>
          <w:i w:val="0"/>
          <w:smallCaps w:val="0"/>
          <w:strike w:val="0"/>
          <w:sz w:val="20"/>
          <w:u w:val="single"/>
        </w:rPr>
        <w:t xml:space="preserve"> with this case</w:t>
      </w:r>
      <w:r>
        <w:rPr>
          <w:b w:val="0"/>
          <w:i w:val="0"/>
          <w:smallCaps w:val="0"/>
          <w:strike w:val="0"/>
          <w:sz w:val="16"/>
          <w:u w:val="none"/>
        </w:rPr>
        <w:t xml:space="preserve">. The lower court here endorsed a spectacular anomaly. </w:t>
      </w:r>
      <w:r>
        <w:rPr>
          <w:b w:val="0"/>
          <w:i w:val="0"/>
          <w:smallCaps w:val="0"/>
          <w:strike w:val="0"/>
          <w:sz w:val="20"/>
          <w:highlight w:val="cyan"/>
          <w:u w:val="single"/>
        </w:rPr>
        <w:t xml:space="preserve">Congress may now </w:t>
      </w:r>
      <w:r>
        <w:rPr>
          <w:b w:val="0"/>
          <w:i w:val="0"/>
          <w:smallCaps w:val="0"/>
          <w:strike w:val="0"/>
          <w:sz w:val="20"/>
          <w:highlight w:val="cyan"/>
          <w:u w:val="single"/>
        </w:rPr>
        <w:t>delegate</w:t>
      </w:r>
      <w:r>
        <w:rPr>
          <w:b w:val="0"/>
          <w:i w:val="0"/>
          <w:smallCaps w:val="0"/>
          <w:strike w:val="0"/>
          <w:sz w:val="20"/>
          <w:u w:val="single"/>
        </w:rPr>
        <w:t xml:space="preserve"> authority </w:t>
      </w:r>
      <w:r>
        <w:rPr>
          <w:b w:val="0"/>
          <w:i w:val="0"/>
          <w:smallCaps w:val="0"/>
          <w:strike w:val="0"/>
          <w:sz w:val="20"/>
          <w:highlight w:val="cyan"/>
          <w:u w:val="single"/>
        </w:rPr>
        <w:t>to an administrative tribunal</w:t>
      </w:r>
      <w:r>
        <w:rPr>
          <w:b w:val="0"/>
          <w:i w:val="0"/>
          <w:smallCaps w:val="0"/>
          <w:strike w:val="0"/>
          <w:sz w:val="20"/>
          <w:highlight w:val="cyan"/>
          <w:u w:val="single"/>
        </w:rPr>
        <w:t xml:space="preserve"> to determine</w:t>
      </w:r>
      <w:r>
        <w:rPr>
          <w:b w:val="0"/>
          <w:i w:val="0"/>
          <w:smallCaps w:val="0"/>
          <w:strike w:val="0"/>
          <w:sz w:val="20"/>
          <w:u w:val="single"/>
        </w:rPr>
        <w:t xml:space="preserve"> the </w:t>
      </w:r>
      <w:r>
        <w:rPr>
          <w:b w:val="0"/>
          <w:i w:val="0"/>
          <w:smallCaps w:val="0"/>
          <w:strike w:val="0"/>
          <w:sz w:val="20"/>
          <w:highlight w:val="cyan"/>
          <w:u w:val="single"/>
        </w:rPr>
        <w:t>validity of private</w:t>
      </w:r>
      <w:r>
        <w:rPr>
          <w:b w:val="0"/>
          <w:i w:val="0"/>
          <w:smallCaps w:val="0"/>
          <w:strike w:val="0"/>
          <w:sz w:val="20"/>
          <w:u w:val="single"/>
        </w:rPr>
        <w:t xml:space="preserve"> property </w:t>
      </w:r>
      <w:r>
        <w:rPr>
          <w:b w:val="0"/>
          <w:i w:val="0"/>
          <w:smallCaps w:val="0"/>
          <w:strike w:val="0"/>
          <w:sz w:val="20"/>
          <w:highlight w:val="cyan"/>
          <w:u w:val="single"/>
        </w:rPr>
        <w:t>rights</w:t>
      </w:r>
      <w:r>
        <w:rPr>
          <w:b w:val="0"/>
          <w:i w:val="0"/>
          <w:smallCaps w:val="0"/>
          <w:strike w:val="0"/>
          <w:sz w:val="20"/>
          <w:u w:val="single"/>
        </w:rPr>
        <w:t xml:space="preserve"> amongst private litigants</w:t>
      </w:r>
      <w:r>
        <w:rPr>
          <w:b w:val="0"/>
          <w:i w:val="0"/>
          <w:smallCaps w:val="0"/>
          <w:strike w:val="0"/>
          <w:sz w:val="20"/>
          <w:u w:val="single"/>
        </w:rPr>
        <w:t xml:space="preserve"> embroiled in a private federal dispute</w:t>
      </w:r>
      <w:r>
        <w:rPr>
          <w:b w:val="0"/>
          <w:i w:val="0"/>
          <w:smallCaps w:val="0"/>
          <w:strike w:val="0"/>
          <w:sz w:val="16"/>
          <w:u w:val="none"/>
        </w:rPr>
        <w:t xml:space="preserve"> of a type with clear historical antecedents to 1789. </w:t>
      </w:r>
      <w:r>
        <w:rPr>
          <w:b w:val="0"/>
          <w:i w:val="0"/>
          <w:smallCaps w:val="0"/>
          <w:strike w:val="0"/>
          <w:sz w:val="20"/>
          <w:u w:val="single"/>
        </w:rPr>
        <w:t>Under the lower court’s decision, the “</w:t>
      </w:r>
      <w:r>
        <w:rPr>
          <w:b w:val="0"/>
          <w:i w:val="0"/>
          <w:smallCaps w:val="0"/>
          <w:strike w:val="0"/>
          <w:sz w:val="20"/>
          <w:highlight w:val="cyan"/>
          <w:u w:val="single"/>
        </w:rPr>
        <w:t>judicial power” is no longer reserved to Article III courts</w:t>
      </w:r>
      <w:r>
        <w:rPr>
          <w:b w:val="0"/>
          <w:i w:val="0"/>
          <w:smallCaps w:val="0"/>
          <w:strike w:val="0"/>
          <w:sz w:val="16"/>
          <w:u w:val="none"/>
        </w:rPr>
        <w:t xml:space="preserve">, unless a state law claim is in play. </w:t>
      </w:r>
      <w:r>
        <w:rPr>
          <w:b w:val="0"/>
          <w:i w:val="0"/>
          <w:smallCaps w:val="0"/>
          <w:strike w:val="0"/>
          <w:sz w:val="20"/>
          <w:u w:val="single"/>
        </w:rPr>
        <w:t xml:space="preserve">Under that reasoning, if Congress swoops in to regulate an area, the Separation of Powers question is decided in the negative </w:t>
      </w:r>
      <w:r>
        <w:rPr>
          <w:b w:val="0"/>
          <w:i w:val="0"/>
          <w:smallCaps w:val="0"/>
          <w:strike w:val="0"/>
          <w:sz w:val="20"/>
          <w:u w:val="single"/>
        </w:rPr>
        <w:t>at the moment</w:t>
      </w:r>
      <w:r>
        <w:rPr>
          <w:b w:val="0"/>
          <w:i w:val="0"/>
          <w:smallCaps w:val="0"/>
          <w:strike w:val="0"/>
          <w:sz w:val="20"/>
          <w:u w:val="single"/>
        </w:rPr>
        <w:t xml:space="preserve"> Congress does regulate it</w:t>
      </w:r>
      <w:r>
        <w:rPr>
          <w:b w:val="0"/>
          <w:i w:val="0"/>
          <w:smallCaps w:val="0"/>
          <w:strike w:val="0"/>
          <w:sz w:val="16"/>
          <w:u w:val="none"/>
        </w:rPr>
        <w:t xml:space="preserve">, irrespective of whether it “originate[s] in a newly fashioned regulatory scheme or possess[es] a long line of common-law forebears.” </w:t>
      </w:r>
      <w:r>
        <w:rPr>
          <w:b w:val="0"/>
          <w:i w:val="0"/>
          <w:smallCaps w:val="0"/>
          <w:strike w:val="0"/>
          <w:sz w:val="16"/>
          <w:u w:val="none"/>
        </w:rPr>
        <w:t>Granfinanciera</w:t>
      </w:r>
      <w:r>
        <w:rPr>
          <w:b w:val="0"/>
          <w:i w:val="0"/>
          <w:smallCaps w:val="0"/>
          <w:strike w:val="0"/>
          <w:sz w:val="16"/>
          <w:u w:val="none"/>
        </w:rPr>
        <w:t>, SA v. Nordberg, 492 U.S. 33, 52 (1989) (citation omitted). Countless decisions of this Court direct otherwise.</w:t>
      </w:r>
    </w:p>
    <w:p>
      <w:pPr>
        <w:spacing w:after="60"/>
      </w:pPr>
      <w:r>
        <w:rPr>
          <w:b w:val="0"/>
          <w:i w:val="0"/>
          <w:smallCaps w:val="0"/>
          <w:strike w:val="0"/>
          <w:sz w:val="20"/>
          <w:u w:val="single"/>
        </w:rPr>
        <w:t xml:space="preserve">In this case, the </w:t>
      </w:r>
      <w:r>
        <w:rPr>
          <w:b w:val="0"/>
          <w:i w:val="0"/>
          <w:smallCaps w:val="0"/>
          <w:strike w:val="0"/>
          <w:sz w:val="20"/>
          <w:highlight w:val="cyan"/>
          <w:u w:val="single"/>
        </w:rPr>
        <w:t>C</w:t>
      </w:r>
      <w:r>
        <w:rPr>
          <w:b w:val="0"/>
          <w:i w:val="0"/>
          <w:smallCaps w:val="0"/>
          <w:strike w:val="0"/>
          <w:sz w:val="20"/>
          <w:u w:val="single"/>
        </w:rPr>
        <w:t xml:space="preserve">ourt of </w:t>
      </w:r>
      <w:r>
        <w:rPr>
          <w:b w:val="0"/>
          <w:i w:val="0"/>
          <w:smallCaps w:val="0"/>
          <w:strike w:val="0"/>
          <w:sz w:val="20"/>
          <w:highlight w:val="cyan"/>
          <w:u w:val="single"/>
        </w:rPr>
        <w:t>A</w:t>
      </w:r>
      <w:r>
        <w:rPr>
          <w:b w:val="0"/>
          <w:i w:val="0"/>
          <w:smallCaps w:val="0"/>
          <w:strike w:val="0"/>
          <w:sz w:val="20"/>
          <w:u w:val="single"/>
        </w:rPr>
        <w:t xml:space="preserve">ppeals for the </w:t>
      </w:r>
      <w:r>
        <w:rPr>
          <w:b w:val="0"/>
          <w:i w:val="0"/>
          <w:smallCaps w:val="0"/>
          <w:strike w:val="0"/>
          <w:sz w:val="20"/>
          <w:highlight w:val="cyan"/>
          <w:u w:val="single"/>
        </w:rPr>
        <w:t>F</w:t>
      </w:r>
      <w:r>
        <w:rPr>
          <w:b w:val="0"/>
          <w:i w:val="0"/>
          <w:smallCaps w:val="0"/>
          <w:strike w:val="0"/>
          <w:sz w:val="20"/>
          <w:u w:val="single"/>
        </w:rPr>
        <w:t xml:space="preserve">ederal </w:t>
      </w:r>
      <w:r>
        <w:rPr>
          <w:b w:val="0"/>
          <w:i w:val="0"/>
          <w:smallCaps w:val="0"/>
          <w:strike w:val="0"/>
          <w:sz w:val="20"/>
          <w:highlight w:val="cyan"/>
          <w:u w:val="single"/>
        </w:rPr>
        <w:t>C</w:t>
      </w:r>
      <w:r>
        <w:rPr>
          <w:b w:val="0"/>
          <w:i w:val="0"/>
          <w:smallCaps w:val="0"/>
          <w:strike w:val="0"/>
          <w:sz w:val="20"/>
          <w:u w:val="single"/>
        </w:rPr>
        <w:t xml:space="preserve">ircuit </w:t>
      </w:r>
      <w:r>
        <w:rPr>
          <w:b w:val="0"/>
          <w:i w:val="0"/>
          <w:smallCaps w:val="0"/>
          <w:strike w:val="0"/>
          <w:sz w:val="20"/>
          <w:highlight w:val="cyan"/>
          <w:u w:val="single"/>
        </w:rPr>
        <w:t>rejected</w:t>
      </w:r>
      <w:r>
        <w:rPr>
          <w:b w:val="0"/>
          <w:i w:val="0"/>
          <w:smallCaps w:val="0"/>
          <w:strike w:val="0"/>
          <w:sz w:val="20"/>
          <w:u w:val="single"/>
        </w:rPr>
        <w:t xml:space="preserve"> a constitutional </w:t>
      </w:r>
      <w:r>
        <w:rPr>
          <w:b w:val="0"/>
          <w:i w:val="0"/>
          <w:smallCaps w:val="0"/>
          <w:strike w:val="0"/>
          <w:sz w:val="20"/>
          <w:highlight w:val="cyan"/>
          <w:u w:val="single"/>
        </w:rPr>
        <w:t>challenge to inter partes review</w:t>
      </w:r>
      <w:r>
        <w:rPr>
          <w:b w:val="0"/>
          <w:i w:val="0"/>
          <w:smallCaps w:val="0"/>
          <w:strike w:val="0"/>
          <w:sz w:val="16"/>
          <w:u w:val="none"/>
        </w:rPr>
        <w:t xml:space="preserve">, a process </w:t>
      </w:r>
      <w:r>
        <w:rPr>
          <w:b w:val="0"/>
          <w:i w:val="0"/>
          <w:smallCaps w:val="0"/>
          <w:strike w:val="0"/>
          <w:sz w:val="20"/>
          <w:u w:val="single"/>
        </w:rPr>
        <w:t>in which</w:t>
      </w:r>
      <w:r>
        <w:rPr>
          <w:b w:val="0"/>
          <w:i w:val="0"/>
          <w:smallCaps w:val="0"/>
          <w:strike w:val="0"/>
          <w:sz w:val="16"/>
          <w:u w:val="none"/>
        </w:rPr>
        <w:t xml:space="preserve"> employees of the United States Patent and Trademark Office (</w:t>
      </w:r>
      <w:r>
        <w:rPr>
          <w:b w:val="0"/>
          <w:i w:val="0"/>
          <w:smallCaps w:val="0"/>
          <w:strike w:val="0"/>
          <w:sz w:val="20"/>
          <w:u w:val="single"/>
        </w:rPr>
        <w:t xml:space="preserve">the “Patent Office”) convene </w:t>
      </w:r>
      <w:r>
        <w:rPr>
          <w:b w:val="0"/>
          <w:i w:val="0"/>
          <w:smallCaps w:val="0"/>
          <w:strike w:val="0"/>
          <w:sz w:val="20"/>
          <w:highlight w:val="cyan"/>
          <w:u w:val="single"/>
        </w:rPr>
        <w:t>an adjudicatory tribunal to</w:t>
      </w:r>
      <w:r>
        <w:rPr>
          <w:b w:val="0"/>
          <w:i w:val="0"/>
          <w:smallCaps w:val="0"/>
          <w:strike w:val="0"/>
          <w:sz w:val="20"/>
          <w:u w:val="single"/>
        </w:rPr>
        <w:t xml:space="preserve"> conduct a trial and </w:t>
      </w:r>
      <w:r>
        <w:rPr>
          <w:b w:val="0"/>
          <w:i w:val="0"/>
          <w:smallCaps w:val="0"/>
          <w:strike w:val="0"/>
          <w:sz w:val="20"/>
          <w:highlight w:val="cyan"/>
          <w:u w:val="single"/>
        </w:rPr>
        <w:t>decide whether to</w:t>
      </w:r>
      <w:r>
        <w:rPr>
          <w:b w:val="0"/>
          <w:i w:val="0"/>
          <w:smallCaps w:val="0"/>
          <w:strike w:val="0"/>
          <w:sz w:val="20"/>
          <w:u w:val="single"/>
        </w:rPr>
        <w:t xml:space="preserve"> </w:t>
      </w:r>
      <w:r>
        <w:rPr>
          <w:b w:val="0"/>
          <w:i w:val="0"/>
          <w:smallCaps w:val="0"/>
          <w:strike w:val="0"/>
          <w:sz w:val="20"/>
          <w:u w:val="single"/>
        </w:rPr>
        <w:t xml:space="preserve">cancel (i.e., </w:t>
      </w:r>
      <w:r>
        <w:rPr>
          <w:b w:val="0"/>
          <w:i w:val="0"/>
          <w:smallCaps w:val="0"/>
          <w:strike w:val="0"/>
          <w:sz w:val="20"/>
          <w:highlight w:val="cyan"/>
          <w:u w:val="single"/>
        </w:rPr>
        <w:t>invalidate</w:t>
      </w:r>
      <w:r>
        <w:rPr>
          <w:b w:val="0"/>
          <w:i w:val="0"/>
          <w:smallCaps w:val="0"/>
          <w:strike w:val="0"/>
          <w:sz w:val="20"/>
          <w:u w:val="single"/>
        </w:rPr>
        <w:t xml:space="preserve">) previously issued and </w:t>
      </w:r>
      <w:r>
        <w:rPr>
          <w:b w:val="0"/>
          <w:i w:val="0"/>
          <w:smallCaps w:val="0"/>
          <w:strike w:val="0"/>
          <w:sz w:val="20"/>
          <w:highlight w:val="cyan"/>
          <w:u w:val="single"/>
        </w:rPr>
        <w:t>fully vested private patent rights</w:t>
      </w:r>
      <w:r>
        <w:rPr>
          <w:b w:val="0"/>
          <w:i w:val="0"/>
          <w:smallCaps w:val="0"/>
          <w:strike w:val="0"/>
          <w:sz w:val="20"/>
          <w:u w:val="single"/>
        </w:rPr>
        <w:t>. Patent validity adjudications</w:t>
      </w:r>
      <w:r>
        <w:rPr>
          <w:b w:val="0"/>
          <w:i w:val="0"/>
          <w:smallCaps w:val="0"/>
          <w:strike w:val="0"/>
          <w:sz w:val="16"/>
          <w:u w:val="none"/>
        </w:rPr>
        <w:t xml:space="preserve"> – even stand-alone invalidity petitions brought in the absence of an infringement counterclaim – </w:t>
      </w:r>
      <w:r>
        <w:rPr>
          <w:b w:val="0"/>
          <w:i w:val="0"/>
          <w:smallCaps w:val="0"/>
          <w:strike w:val="0"/>
          <w:sz w:val="20"/>
          <w:u w:val="single"/>
        </w:rPr>
        <w:t xml:space="preserve">existed in the common law courts since before the Founding. This is </w:t>
      </w:r>
      <w:r>
        <w:rPr>
          <w:b w:val="0"/>
          <w:i w:val="0"/>
          <w:smallCaps w:val="0"/>
          <w:strike w:val="0"/>
          <w:sz w:val="20"/>
          <w:highlight w:val="cyan"/>
          <w:u w:val="single"/>
        </w:rPr>
        <w:t>precisely the type of adjudication</w:t>
      </w:r>
      <w:r>
        <w:rPr>
          <w:b w:val="0"/>
          <w:i w:val="0"/>
          <w:smallCaps w:val="0"/>
          <w:strike w:val="0"/>
          <w:sz w:val="20"/>
          <w:u w:val="single"/>
        </w:rPr>
        <w:t xml:space="preserve"> that </w:t>
      </w:r>
      <w:r>
        <w:rPr>
          <w:b w:val="0"/>
          <w:i w:val="0"/>
          <w:smallCaps w:val="0"/>
          <w:strike w:val="0"/>
          <w:sz w:val="20"/>
          <w:highlight w:val="cyan"/>
          <w:u w:val="single"/>
        </w:rPr>
        <w:t>Congress cannot place before an agency</w:t>
      </w:r>
      <w:r>
        <w:rPr>
          <w:b w:val="0"/>
          <w:i w:val="0"/>
          <w:smallCaps w:val="0"/>
          <w:strike w:val="0"/>
          <w:sz w:val="20"/>
          <w:u w:val="single"/>
        </w:rPr>
        <w:t xml:space="preserve"> without conflicting with this Court’s precedents</w:t>
      </w:r>
      <w:r>
        <w:rPr>
          <w:b w:val="0"/>
          <w:i w:val="0"/>
          <w:smallCaps w:val="0"/>
          <w:strike w:val="0"/>
          <w:sz w:val="16"/>
          <w:u w:val="none"/>
        </w:rPr>
        <w:t>.</w:t>
      </w:r>
    </w:p>
    <w:p>
      <w:pPr>
        <w:spacing w:after="60"/>
      </w:pPr>
      <w:r>
        <w:rPr>
          <w:b w:val="0"/>
          <w:i w:val="0"/>
          <w:smallCaps w:val="0"/>
          <w:strike w:val="0"/>
          <w:sz w:val="20"/>
          <w:highlight w:val="cyan"/>
          <w:u w:val="single"/>
        </w:rPr>
        <w:t>Never before</w:t>
      </w:r>
      <w:r>
        <w:rPr>
          <w:b w:val="0"/>
          <w:i w:val="0"/>
          <w:smallCaps w:val="0"/>
          <w:strike w:val="0"/>
          <w:sz w:val="20"/>
          <w:highlight w:val="cyan"/>
          <w:u w:val="single"/>
        </w:rPr>
        <w:t xml:space="preserve"> has</w:t>
      </w:r>
      <w:r>
        <w:rPr>
          <w:b w:val="0"/>
          <w:i w:val="0"/>
          <w:smallCaps w:val="0"/>
          <w:strike w:val="0"/>
          <w:sz w:val="20"/>
          <w:u w:val="single"/>
        </w:rPr>
        <w:t xml:space="preserve"> this </w:t>
      </w:r>
      <w:r>
        <w:rPr>
          <w:b w:val="0"/>
          <w:i w:val="0"/>
          <w:smallCaps w:val="0"/>
          <w:strike w:val="0"/>
          <w:sz w:val="20"/>
          <w:highlight w:val="cyan"/>
          <w:u w:val="single"/>
        </w:rPr>
        <w:t>Court</w:t>
      </w:r>
      <w:r>
        <w:rPr>
          <w:b w:val="0"/>
          <w:i w:val="0"/>
          <w:smallCaps w:val="0"/>
          <w:strike w:val="0"/>
          <w:sz w:val="16"/>
          <w:u w:val="none"/>
        </w:rPr>
        <w:t xml:space="preserve">, nor any court of appeals, </w:t>
      </w:r>
      <w:r>
        <w:rPr>
          <w:b w:val="0"/>
          <w:i w:val="0"/>
          <w:smallCaps w:val="0"/>
          <w:strike w:val="0"/>
          <w:sz w:val="20"/>
          <w:highlight w:val="cyan"/>
          <w:u w:val="single"/>
        </w:rPr>
        <w:t>approved such</w:t>
      </w:r>
      <w:r>
        <w:rPr>
          <w:b w:val="0"/>
          <w:i w:val="0"/>
          <w:smallCaps w:val="0"/>
          <w:strike w:val="0"/>
          <w:sz w:val="20"/>
          <w:u w:val="single"/>
        </w:rPr>
        <w:t xml:space="preserve"> a </w:t>
      </w:r>
      <w:r>
        <w:rPr>
          <w:b w:val="0"/>
          <w:i w:val="0"/>
          <w:smallCaps w:val="0"/>
          <w:strike w:val="0"/>
          <w:sz w:val="20"/>
          <w:highlight w:val="cyan"/>
          <w:u w:val="single"/>
        </w:rPr>
        <w:t>deviation from S</w:t>
      </w:r>
      <w:r>
        <w:rPr>
          <w:b w:val="0"/>
          <w:i w:val="0"/>
          <w:smallCaps w:val="0"/>
          <w:strike w:val="0"/>
          <w:sz w:val="20"/>
          <w:u w:val="single"/>
        </w:rPr>
        <w:t xml:space="preserve">eparation </w:t>
      </w:r>
      <w:r>
        <w:rPr>
          <w:b w:val="0"/>
          <w:i w:val="0"/>
          <w:smallCaps w:val="0"/>
          <w:strike w:val="0"/>
          <w:sz w:val="20"/>
          <w:highlight w:val="cyan"/>
          <w:u w:val="single"/>
        </w:rPr>
        <w:t>o</w:t>
      </w:r>
      <w:r>
        <w:rPr>
          <w:b w:val="0"/>
          <w:i w:val="0"/>
          <w:smallCaps w:val="0"/>
          <w:strike w:val="0"/>
          <w:sz w:val="20"/>
          <w:u w:val="single"/>
        </w:rPr>
        <w:t xml:space="preserve">f </w:t>
      </w:r>
      <w:r>
        <w:rPr>
          <w:b w:val="0"/>
          <w:i w:val="0"/>
          <w:smallCaps w:val="0"/>
          <w:strike w:val="0"/>
          <w:sz w:val="20"/>
          <w:highlight w:val="cyan"/>
          <w:u w:val="single"/>
        </w:rPr>
        <w:t>P</w:t>
      </w:r>
      <w:r>
        <w:rPr>
          <w:b w:val="0"/>
          <w:i w:val="0"/>
          <w:smallCaps w:val="0"/>
          <w:strike w:val="0"/>
          <w:sz w:val="20"/>
          <w:u w:val="single"/>
        </w:rPr>
        <w:t xml:space="preserve">owers </w:t>
      </w:r>
      <w:r>
        <w:rPr>
          <w:b w:val="0"/>
          <w:i w:val="0"/>
          <w:smallCaps w:val="0"/>
          <w:strike w:val="0"/>
          <w:sz w:val="20"/>
          <w:u w:val="single"/>
        </w:rPr>
        <w:t>principles</w:t>
      </w:r>
      <w:r>
        <w:rPr>
          <w:b w:val="0"/>
          <w:i w:val="0"/>
          <w:smallCaps w:val="0"/>
          <w:strike w:val="0"/>
          <w:sz w:val="20"/>
          <w:u w:val="single"/>
        </w:rPr>
        <w:t xml:space="preserve">. </w:t>
      </w:r>
      <w:r>
        <w:rPr>
          <w:b w:val="0"/>
          <w:i w:val="0"/>
          <w:smallCaps w:val="0"/>
          <w:strike w:val="0"/>
          <w:sz w:val="20"/>
          <w:highlight w:val="cyan"/>
          <w:u w:val="single"/>
        </w:rPr>
        <w:t>No</w:t>
      </w:r>
      <w:r>
        <w:rPr>
          <w:b w:val="0"/>
          <w:i w:val="0"/>
          <w:smallCaps w:val="0"/>
          <w:strike w:val="0"/>
          <w:sz w:val="20"/>
          <w:u w:val="single"/>
        </w:rPr>
        <w:t xml:space="preserve"> previous </w:t>
      </w:r>
      <w:r>
        <w:rPr>
          <w:b w:val="0"/>
          <w:i w:val="0"/>
          <w:smallCaps w:val="0"/>
          <w:strike w:val="0"/>
          <w:sz w:val="20"/>
          <w:highlight w:val="cyan"/>
          <w:u w:val="single"/>
        </w:rPr>
        <w:t>court</w:t>
      </w:r>
      <w:r>
        <w:rPr>
          <w:b w:val="0"/>
          <w:i w:val="0"/>
          <w:smallCaps w:val="0"/>
          <w:strike w:val="0"/>
          <w:sz w:val="20"/>
          <w:u w:val="single"/>
        </w:rPr>
        <w:t xml:space="preserve"> has </w:t>
      </w:r>
      <w:r>
        <w:rPr>
          <w:b w:val="0"/>
          <w:i w:val="0"/>
          <w:smallCaps w:val="0"/>
          <w:strike w:val="0"/>
          <w:sz w:val="20"/>
          <w:highlight w:val="cyan"/>
          <w:u w:val="single"/>
        </w:rPr>
        <w:t>ever</w:t>
      </w:r>
      <w:r>
        <w:rPr>
          <w:b w:val="0"/>
          <w:i w:val="0"/>
          <w:smallCaps w:val="0"/>
          <w:strike w:val="0"/>
          <w:sz w:val="20"/>
          <w:highlight w:val="cyan"/>
          <w:u w:val="single"/>
        </w:rPr>
        <w:t xml:space="preserve"> approved delegating</w:t>
      </w:r>
      <w:r>
        <w:rPr>
          <w:b w:val="0"/>
          <w:i w:val="0"/>
          <w:smallCaps w:val="0"/>
          <w:strike w:val="0"/>
          <w:sz w:val="20"/>
          <w:u w:val="single"/>
        </w:rPr>
        <w:t xml:space="preserve"> validity-determination </w:t>
      </w:r>
      <w:r>
        <w:rPr>
          <w:b w:val="0"/>
          <w:i w:val="0"/>
          <w:smallCaps w:val="0"/>
          <w:strike w:val="0"/>
          <w:sz w:val="20"/>
          <w:highlight w:val="cyan"/>
          <w:u w:val="single"/>
        </w:rPr>
        <w:t>authority over</w:t>
      </w:r>
      <w:r>
        <w:rPr>
          <w:b w:val="0"/>
          <w:i w:val="0"/>
          <w:smallCaps w:val="0"/>
          <w:strike w:val="0"/>
          <w:sz w:val="20"/>
          <w:u w:val="single"/>
        </w:rPr>
        <w:t xml:space="preserve"> common-law-adjudicated </w:t>
      </w:r>
      <w:r>
        <w:rPr>
          <w:b w:val="0"/>
          <w:i w:val="0"/>
          <w:smallCaps w:val="0"/>
          <w:strike w:val="0"/>
          <w:sz w:val="20"/>
          <w:highlight w:val="cyan"/>
          <w:u w:val="single"/>
        </w:rPr>
        <w:t>property rights to a non-Article III decisionmaker</w:t>
      </w:r>
      <w:r>
        <w:rPr>
          <w:b w:val="0"/>
          <w:i w:val="0"/>
          <w:smallCaps w:val="0"/>
          <w:strike w:val="0"/>
          <w:sz w:val="16"/>
          <w:u w:val="none"/>
        </w:rPr>
        <w:t xml:space="preserve">. The very fact that the lower court believed itself to be faithfully applying this Court’s latest “public rights” pronouncements indicates how deeply this area of law is in disrepair. </w:t>
      </w:r>
      <w:r>
        <w:rPr>
          <w:b w:val="0"/>
          <w:i w:val="0"/>
          <w:smallCaps w:val="0"/>
          <w:strike w:val="0"/>
          <w:sz w:val="20"/>
          <w:highlight w:val="cyan"/>
          <w:u w:val="single"/>
        </w:rPr>
        <w:t>Absent clarification</w:t>
      </w:r>
      <w:r>
        <w:rPr>
          <w:b w:val="0"/>
          <w:i w:val="0"/>
          <w:smallCaps w:val="0"/>
          <w:strike w:val="0"/>
          <w:sz w:val="16"/>
          <w:u w:val="none"/>
        </w:rPr>
        <w:t xml:space="preserve">, almost </w:t>
      </w:r>
      <w:r>
        <w:rPr>
          <w:b w:val="0"/>
          <w:i w:val="0"/>
          <w:smallCaps w:val="0"/>
          <w:strike w:val="0"/>
          <w:sz w:val="20"/>
          <w:highlight w:val="cyan"/>
          <w:u w:val="single"/>
        </w:rPr>
        <w:t>nothing remains</w:t>
      </w:r>
      <w:r>
        <w:rPr>
          <w:b w:val="0"/>
          <w:i w:val="0"/>
          <w:smallCaps w:val="0"/>
          <w:strike w:val="0"/>
          <w:sz w:val="20"/>
          <w:u w:val="single"/>
        </w:rPr>
        <w:t xml:space="preserve"> of the high walls this Court has</w:t>
      </w:r>
      <w:r>
        <w:rPr>
          <w:b w:val="0"/>
          <w:i w:val="0"/>
          <w:smallCaps w:val="0"/>
          <w:strike w:val="0"/>
          <w:sz w:val="16"/>
          <w:u w:val="none"/>
        </w:rPr>
        <w:t xml:space="preserve"> occasionally </w:t>
      </w:r>
      <w:r>
        <w:rPr>
          <w:b w:val="0"/>
          <w:i w:val="0"/>
          <w:smallCaps w:val="0"/>
          <w:strike w:val="0"/>
          <w:sz w:val="20"/>
          <w:u w:val="single"/>
        </w:rPr>
        <w:t xml:space="preserve">had to invoke </w:t>
      </w:r>
      <w:r>
        <w:rPr>
          <w:b w:val="0"/>
          <w:i w:val="0"/>
          <w:smallCaps w:val="0"/>
          <w:strike w:val="0"/>
          <w:sz w:val="20"/>
          <w:highlight w:val="cyan"/>
          <w:u w:val="single"/>
        </w:rPr>
        <w:t xml:space="preserve">to </w:t>
      </w:r>
      <w:r>
        <w:rPr>
          <w:b w:val="0"/>
          <w:i w:val="0"/>
          <w:smallCaps w:val="0"/>
          <w:strike w:val="0"/>
          <w:sz w:val="20"/>
          <w:highlight w:val="cyan"/>
          <w:u w:val="single"/>
        </w:rPr>
        <w:t>prevent Congressional encroachments on the Judicial branch</w:t>
      </w:r>
      <w:r>
        <w:rPr>
          <w:b w:val="0"/>
          <w:i w:val="0"/>
          <w:smallCaps w:val="0"/>
          <w:strike w:val="0"/>
          <w:sz w:val="16"/>
          <w:u w:val="none"/>
        </w:rPr>
        <w:t xml:space="preserve">. </w:t>
      </w:r>
    </w:p>
    <w:p>
      <w:pPr>
        <w:spacing w:after="60"/>
      </w:pPr>
      <w:r>
        <w:rPr>
          <w:b w:val="0"/>
          <w:i w:val="0"/>
          <w:smallCaps w:val="0"/>
          <w:strike w:val="0"/>
          <w:sz w:val="16"/>
          <w:u w:val="none"/>
        </w:rPr>
        <w:t>Two powerful reasons thus support review in this Court.</w:t>
      </w:r>
    </w:p>
    <w:p>
      <w:pPr>
        <w:spacing w:after="60"/>
      </w:pPr>
      <w:r>
        <w:rPr>
          <w:b w:val="0"/>
          <w:i w:val="0"/>
          <w:smallCaps w:val="0"/>
          <w:strike w:val="0"/>
          <w:sz w:val="16"/>
          <w:u w:val="none"/>
        </w:rPr>
        <w:t xml:space="preserve">Most obviously, as explained in detail below, the lower court’s decision directly conflicts with this Court’s long-standing precedent relating to agency actions affecting patents for both invention and land. See, e.g., McCormick Harvesting Mach. Co. v. Aultman-Miller Co., 169 U.S. 606 (1898). </w:t>
      </w:r>
      <w:r>
        <w:rPr>
          <w:b w:val="0"/>
          <w:i w:val="0"/>
          <w:smallCaps w:val="0"/>
          <w:strike w:val="0"/>
          <w:sz w:val="20"/>
          <w:u w:val="single"/>
        </w:rPr>
        <w:t xml:space="preserve">This </w:t>
      </w:r>
      <w:r>
        <w:rPr>
          <w:b w:val="0"/>
          <w:i w:val="0"/>
          <w:smallCaps w:val="0"/>
          <w:strike w:val="0"/>
          <w:sz w:val="20"/>
          <w:highlight w:val="cyan"/>
          <w:u w:val="single"/>
        </w:rPr>
        <w:t>Court should</w:t>
      </w:r>
      <w:r>
        <w:rPr>
          <w:b w:val="0"/>
          <w:i w:val="0"/>
          <w:smallCaps w:val="0"/>
          <w:strike w:val="0"/>
          <w:sz w:val="20"/>
          <w:u w:val="single"/>
        </w:rPr>
        <w:t xml:space="preserve"> review to </w:t>
      </w:r>
      <w:r>
        <w:rPr>
          <w:b w:val="0"/>
          <w:i w:val="0"/>
          <w:smallCaps w:val="0"/>
          <w:strike w:val="0"/>
          <w:sz w:val="20"/>
          <w:highlight w:val="cyan"/>
          <w:u w:val="single"/>
        </w:rPr>
        <w:t>confirm</w:t>
      </w:r>
      <w:r>
        <w:rPr>
          <w:b w:val="0"/>
          <w:i w:val="0"/>
          <w:smallCaps w:val="0"/>
          <w:strike w:val="0"/>
          <w:sz w:val="16"/>
          <w:u w:val="none"/>
        </w:rPr>
        <w:t xml:space="preserve"> that </w:t>
      </w:r>
      <w:r>
        <w:rPr>
          <w:b w:val="0"/>
          <w:i w:val="0"/>
          <w:smallCaps w:val="0"/>
          <w:strike w:val="0"/>
          <w:sz w:val="20"/>
          <w:highlight w:val="cyan"/>
          <w:u w:val="single"/>
        </w:rPr>
        <w:t>final adjudications of patent validity</w:t>
      </w:r>
      <w:r>
        <w:rPr>
          <w:b w:val="0"/>
          <w:i w:val="0"/>
          <w:smallCaps w:val="0"/>
          <w:strike w:val="0"/>
          <w:sz w:val="20"/>
          <w:u w:val="single"/>
        </w:rPr>
        <w:t xml:space="preserve"> may </w:t>
      </w:r>
      <w:r>
        <w:rPr>
          <w:b w:val="0"/>
          <w:i w:val="0"/>
          <w:smallCaps w:val="0"/>
          <w:strike w:val="0"/>
          <w:sz w:val="20"/>
          <w:highlight w:val="cyan"/>
          <w:u w:val="single"/>
        </w:rPr>
        <w:t>only</w:t>
      </w:r>
      <w:r>
        <w:rPr>
          <w:b w:val="0"/>
          <w:i w:val="0"/>
          <w:smallCaps w:val="0"/>
          <w:strike w:val="0"/>
          <w:sz w:val="20"/>
          <w:u w:val="single"/>
        </w:rPr>
        <w:t xml:space="preserve"> occur </w:t>
      </w:r>
      <w:r>
        <w:rPr>
          <w:b w:val="0"/>
          <w:i w:val="0"/>
          <w:smallCaps w:val="0"/>
          <w:strike w:val="0"/>
          <w:sz w:val="20"/>
          <w:highlight w:val="cyan"/>
          <w:u w:val="single"/>
        </w:rPr>
        <w:t>in Article III</w:t>
      </w:r>
      <w:r>
        <w:rPr>
          <w:b w:val="0"/>
          <w:i w:val="0"/>
          <w:smallCaps w:val="0"/>
          <w:strike w:val="0"/>
          <w:sz w:val="20"/>
          <w:u w:val="single"/>
        </w:rPr>
        <w:t xml:space="preserve"> trial </w:t>
      </w:r>
      <w:r>
        <w:rPr>
          <w:b w:val="0"/>
          <w:i w:val="0"/>
          <w:smallCaps w:val="0"/>
          <w:strike w:val="0"/>
          <w:sz w:val="20"/>
          <w:highlight w:val="cyan"/>
          <w:u w:val="single"/>
        </w:rPr>
        <w:t>courts</w:t>
      </w:r>
      <w:r>
        <w:rPr>
          <w:b w:val="0"/>
          <w:i w:val="0"/>
          <w:smallCaps w:val="0"/>
          <w:strike w:val="0"/>
          <w:sz w:val="16"/>
          <w:u w:val="none"/>
        </w:rPr>
        <w:t xml:space="preserve">. However, </w:t>
      </w:r>
      <w:r>
        <w:rPr>
          <w:b w:val="0"/>
          <w:i w:val="0"/>
          <w:smallCaps w:val="0"/>
          <w:strike w:val="0"/>
          <w:sz w:val="20"/>
          <w:u w:val="single"/>
        </w:rPr>
        <w:t xml:space="preserve">this is </w:t>
      </w:r>
      <w:r>
        <w:rPr>
          <w:b w:val="0"/>
          <w:i w:val="0"/>
          <w:smallCaps w:val="0"/>
          <w:strike w:val="0"/>
          <w:sz w:val="20"/>
          <w:highlight w:val="cyan"/>
          <w:u w:val="single"/>
        </w:rPr>
        <w:t>not</w:t>
      </w:r>
      <w:r>
        <w:rPr>
          <w:b w:val="0"/>
          <w:i w:val="0"/>
          <w:smallCaps w:val="0"/>
          <w:strike w:val="0"/>
          <w:sz w:val="20"/>
          <w:highlight w:val="cyan"/>
          <w:u w:val="single"/>
        </w:rPr>
        <w:t xml:space="preserve"> to</w:t>
      </w:r>
      <w:r>
        <w:rPr>
          <w:b w:val="0"/>
          <w:i w:val="0"/>
          <w:smallCaps w:val="0"/>
          <w:strike w:val="0"/>
          <w:sz w:val="20"/>
          <w:u w:val="single"/>
        </w:rPr>
        <w:t xml:space="preserve"> say</w:t>
      </w:r>
      <w:r>
        <w:rPr>
          <w:b w:val="0"/>
          <w:i w:val="0"/>
          <w:smallCaps w:val="0"/>
          <w:strike w:val="0"/>
          <w:sz w:val="16"/>
          <w:u w:val="none"/>
        </w:rPr>
        <w:t xml:space="preserve"> that </w:t>
      </w:r>
      <w:r>
        <w:rPr>
          <w:b w:val="0"/>
          <w:i w:val="0"/>
          <w:smallCaps w:val="0"/>
          <w:strike w:val="0"/>
          <w:sz w:val="20"/>
          <w:u w:val="single"/>
        </w:rPr>
        <w:t xml:space="preserve">this Court must </w:t>
      </w:r>
      <w:r>
        <w:rPr>
          <w:b w:val="0"/>
          <w:i w:val="0"/>
          <w:smallCaps w:val="0"/>
          <w:strike w:val="0"/>
          <w:sz w:val="20"/>
          <w:highlight w:val="cyan"/>
          <w:u w:val="single"/>
        </w:rPr>
        <w:t>abolish</w:t>
      </w:r>
      <w:r>
        <w:rPr>
          <w:b w:val="0"/>
          <w:i w:val="0"/>
          <w:smallCaps w:val="0"/>
          <w:strike w:val="0"/>
          <w:sz w:val="20"/>
          <w:u w:val="single"/>
        </w:rPr>
        <w:t xml:space="preserve"> the </w:t>
      </w:r>
      <w:r>
        <w:rPr>
          <w:b w:val="0"/>
          <w:i w:val="0"/>
          <w:smallCaps w:val="0"/>
          <w:strike w:val="0"/>
          <w:sz w:val="20"/>
          <w:highlight w:val="cyan"/>
          <w:u w:val="single"/>
        </w:rPr>
        <w:t>inter partes review</w:t>
      </w:r>
      <w:r>
        <w:rPr>
          <w:b w:val="0"/>
          <w:i w:val="0"/>
          <w:smallCaps w:val="0"/>
          <w:strike w:val="0"/>
          <w:sz w:val="20"/>
          <w:u w:val="single"/>
        </w:rPr>
        <w:t xml:space="preserve"> </w:t>
      </w:r>
      <w:r>
        <w:rPr>
          <w:b w:val="0"/>
          <w:i w:val="0"/>
          <w:smallCaps w:val="0"/>
          <w:strike w:val="0"/>
          <w:sz w:val="20"/>
          <w:u w:val="single"/>
        </w:rPr>
        <w:t xml:space="preserve">process </w:t>
      </w:r>
      <w:r>
        <w:rPr>
          <w:b w:val="0"/>
          <w:i w:val="0"/>
          <w:smallCaps w:val="0"/>
          <w:strike w:val="0"/>
          <w:sz w:val="20"/>
          <w:highlight w:val="cyan"/>
          <w:u w:val="single"/>
        </w:rPr>
        <w:t>as a whole</w:t>
      </w:r>
      <w:r>
        <w:rPr>
          <w:b w:val="0"/>
          <w:i w:val="0"/>
          <w:smallCaps w:val="0"/>
          <w:strike w:val="0"/>
          <w:sz w:val="20"/>
          <w:highlight w:val="cyan"/>
          <w:u w:val="single"/>
        </w:rPr>
        <w:t>. Rather</w:t>
      </w:r>
      <w:r>
        <w:rPr>
          <w:b w:val="0"/>
          <w:i w:val="0"/>
          <w:smallCaps w:val="0"/>
          <w:strike w:val="0"/>
          <w:sz w:val="20"/>
          <w:u w:val="single"/>
        </w:rPr>
        <w:t xml:space="preserve">, this Court may make the process </w:t>
      </w:r>
      <w:r>
        <w:rPr>
          <w:b w:val="0"/>
          <w:i w:val="0"/>
          <w:smallCaps w:val="0"/>
          <w:strike w:val="0"/>
          <w:sz w:val="20"/>
          <w:u w:val="single"/>
        </w:rPr>
        <w:t>constitutionally sound</w:t>
      </w:r>
      <w:r>
        <w:rPr>
          <w:b w:val="0"/>
          <w:i w:val="0"/>
          <w:smallCaps w:val="0"/>
          <w:strike w:val="0"/>
          <w:sz w:val="16"/>
          <w:u w:val="none"/>
        </w:rPr>
        <w:t xml:space="preserve"> by doing what it has always done under these circumstances: </w:t>
      </w:r>
      <w:r>
        <w:rPr>
          <w:b w:val="0"/>
          <w:i w:val="0"/>
          <w:smallCaps w:val="0"/>
          <w:strike w:val="0"/>
          <w:sz w:val="20"/>
          <w:highlight w:val="cyan"/>
          <w:u w:val="single"/>
        </w:rPr>
        <w:t xml:space="preserve">make the </w:t>
      </w:r>
      <w:r>
        <w:rPr>
          <w:b w:val="0"/>
          <w:i w:val="0"/>
          <w:smallCaps w:val="0"/>
          <w:strike w:val="0"/>
          <w:sz w:val="20"/>
          <w:highlight w:val="cyan"/>
          <w:u w:val="single"/>
        </w:rPr>
        <w:t>outcome</w:t>
      </w:r>
      <w:r>
        <w:rPr>
          <w:b w:val="0"/>
          <w:i w:val="0"/>
          <w:smallCaps w:val="0"/>
          <w:strike w:val="0"/>
          <w:sz w:val="20"/>
          <w:u w:val="single"/>
        </w:rPr>
        <w:t xml:space="preserve"> of inter partes review </w:t>
      </w:r>
      <w:r>
        <w:rPr>
          <w:b w:val="0"/>
          <w:i w:val="0"/>
          <w:smallCaps w:val="0"/>
          <w:strike w:val="0"/>
          <w:sz w:val="20"/>
          <w:highlight w:val="cyan"/>
          <w:u w:val="single"/>
        </w:rPr>
        <w:t>advisory</w:t>
      </w:r>
      <w:r>
        <w:rPr>
          <w:b w:val="0"/>
          <w:i w:val="0"/>
          <w:smallCaps w:val="0"/>
          <w:strike w:val="0"/>
          <w:sz w:val="20"/>
          <w:u w:val="single"/>
        </w:rPr>
        <w:t xml:space="preserve"> and </w:t>
      </w:r>
      <w:r>
        <w:rPr>
          <w:b w:val="0"/>
          <w:i w:val="0"/>
          <w:smallCaps w:val="0"/>
          <w:strike w:val="0"/>
          <w:sz w:val="20"/>
          <w:highlight w:val="cyan"/>
          <w:u w:val="single"/>
        </w:rPr>
        <w:t>subject to de novo</w:t>
      </w:r>
      <w:r>
        <w:rPr>
          <w:b w:val="0"/>
          <w:i w:val="0"/>
          <w:smallCaps w:val="0"/>
          <w:strike w:val="0"/>
          <w:sz w:val="20"/>
          <w:u w:val="single"/>
        </w:rPr>
        <w:t xml:space="preserve"> treatment </w:t>
      </w:r>
      <w:r>
        <w:rPr>
          <w:b w:val="0"/>
          <w:i w:val="0"/>
          <w:smallCaps w:val="0"/>
          <w:strike w:val="0"/>
          <w:sz w:val="20"/>
          <w:highlight w:val="cyan"/>
          <w:u w:val="single"/>
        </w:rPr>
        <w:t>in</w:t>
      </w:r>
      <w:r>
        <w:rPr>
          <w:b w:val="0"/>
          <w:i w:val="0"/>
          <w:smallCaps w:val="0"/>
          <w:strike w:val="0"/>
          <w:sz w:val="20"/>
          <w:u w:val="single"/>
        </w:rPr>
        <w:t xml:space="preserve"> an </w:t>
      </w:r>
      <w:r>
        <w:rPr>
          <w:b w:val="0"/>
          <w:i w:val="0"/>
          <w:smallCaps w:val="0"/>
          <w:strike w:val="0"/>
          <w:sz w:val="20"/>
          <w:highlight w:val="cyan"/>
          <w:u w:val="single"/>
        </w:rPr>
        <w:t>Article</w:t>
      </w:r>
      <w:r>
        <w:rPr>
          <w:b w:val="0"/>
          <w:i w:val="0"/>
          <w:smallCaps w:val="0"/>
          <w:strike w:val="0"/>
          <w:sz w:val="20"/>
          <w:highlight w:val="cyan"/>
          <w:u w:val="single"/>
        </w:rPr>
        <w:t xml:space="preserve"> III</w:t>
      </w:r>
      <w:r>
        <w:rPr>
          <w:b w:val="0"/>
          <w:i w:val="0"/>
          <w:smallCaps w:val="0"/>
          <w:strike w:val="0"/>
          <w:sz w:val="20"/>
          <w:u w:val="single"/>
        </w:rPr>
        <w:t xml:space="preserve"> trial </w:t>
      </w:r>
      <w:r>
        <w:rPr>
          <w:b w:val="0"/>
          <w:i w:val="0"/>
          <w:smallCaps w:val="0"/>
          <w:strike w:val="0"/>
          <w:sz w:val="20"/>
          <w:highlight w:val="cyan"/>
          <w:u w:val="single"/>
        </w:rPr>
        <w:t xml:space="preserve">court. </w:t>
      </w:r>
      <w:r>
        <w:rPr>
          <w:b w:val="0"/>
          <w:i w:val="0"/>
          <w:smallCaps w:val="0"/>
          <w:strike w:val="0"/>
          <w:sz w:val="20"/>
          <w:highlight w:val="cyan"/>
          <w:u w:val="single"/>
        </w:rPr>
        <w:t>So corrected</w:t>
      </w:r>
      <w:r>
        <w:rPr>
          <w:b w:val="0"/>
          <w:i w:val="0"/>
          <w:smallCaps w:val="0"/>
          <w:strike w:val="0"/>
          <w:sz w:val="20"/>
          <w:highlight w:val="cyan"/>
          <w:u w:val="single"/>
        </w:rPr>
        <w:t xml:space="preserve">, </w:t>
      </w:r>
      <w:r>
        <w:rPr>
          <w:b w:val="0"/>
          <w:i w:val="0"/>
          <w:smallCaps w:val="0"/>
          <w:strike w:val="0"/>
          <w:sz w:val="20"/>
          <w:highlight w:val="cyan"/>
          <w:u w:val="single"/>
        </w:rPr>
        <w:t>i</w:t>
      </w:r>
      <w:r>
        <w:rPr>
          <w:b w:val="0"/>
          <w:i w:val="0"/>
          <w:smallCaps w:val="0"/>
          <w:strike w:val="0"/>
          <w:sz w:val="20"/>
          <w:u w:val="single"/>
        </w:rPr>
        <w:t xml:space="preserve">nter </w:t>
      </w:r>
      <w:r>
        <w:rPr>
          <w:b w:val="0"/>
          <w:i w:val="0"/>
          <w:smallCaps w:val="0"/>
          <w:strike w:val="0"/>
          <w:sz w:val="20"/>
          <w:highlight w:val="cyan"/>
          <w:u w:val="single"/>
        </w:rPr>
        <w:t>p</w:t>
      </w:r>
      <w:r>
        <w:rPr>
          <w:b w:val="0"/>
          <w:i w:val="0"/>
          <w:smallCaps w:val="0"/>
          <w:strike w:val="0"/>
          <w:sz w:val="20"/>
          <w:u w:val="single"/>
        </w:rPr>
        <w:t xml:space="preserve">artes </w:t>
      </w:r>
      <w:r>
        <w:rPr>
          <w:b w:val="0"/>
          <w:i w:val="0"/>
          <w:smallCaps w:val="0"/>
          <w:strike w:val="0"/>
          <w:sz w:val="20"/>
          <w:highlight w:val="cyan"/>
          <w:u w:val="single"/>
        </w:rPr>
        <w:t>r</w:t>
      </w:r>
      <w:r>
        <w:rPr>
          <w:b w:val="0"/>
          <w:i w:val="0"/>
          <w:smallCaps w:val="0"/>
          <w:strike w:val="0"/>
          <w:sz w:val="20"/>
          <w:u w:val="single"/>
        </w:rPr>
        <w:t xml:space="preserve">eview </w:t>
      </w:r>
      <w:r>
        <w:rPr>
          <w:b w:val="0"/>
          <w:i w:val="0"/>
          <w:smallCaps w:val="0"/>
          <w:strike w:val="0"/>
          <w:sz w:val="20"/>
          <w:highlight w:val="cyan"/>
          <w:u w:val="single"/>
        </w:rPr>
        <w:t>may still</w:t>
      </w:r>
      <w:r>
        <w:rPr>
          <w:b w:val="0"/>
          <w:i w:val="0"/>
          <w:smallCaps w:val="0"/>
          <w:strike w:val="0"/>
          <w:sz w:val="20"/>
          <w:u w:val="single"/>
        </w:rPr>
        <w:t xml:space="preserve"> </w:t>
      </w:r>
      <w:r>
        <w:rPr>
          <w:b w:val="0"/>
          <w:i w:val="0"/>
          <w:smallCaps w:val="0"/>
          <w:strike w:val="0"/>
          <w:sz w:val="20"/>
          <w:u w:val="single"/>
        </w:rPr>
        <w:t xml:space="preserve">identify and </w:t>
      </w:r>
      <w:r>
        <w:rPr>
          <w:b w:val="0"/>
          <w:i w:val="0"/>
          <w:smallCaps w:val="0"/>
          <w:strike w:val="0"/>
          <w:sz w:val="20"/>
          <w:highlight w:val="cyan"/>
          <w:u w:val="single"/>
        </w:rPr>
        <w:t>appropriately target “junk patents</w:t>
      </w:r>
      <w:r>
        <w:rPr>
          <w:b w:val="0"/>
          <w:i w:val="0"/>
          <w:smallCaps w:val="0"/>
          <w:strike w:val="0"/>
          <w:sz w:val="20"/>
          <w:u w:val="single"/>
        </w:rPr>
        <w:t xml:space="preserve">,” though an </w:t>
      </w:r>
      <w:r>
        <w:rPr>
          <w:b w:val="0"/>
          <w:i w:val="0"/>
          <w:smallCaps w:val="0"/>
          <w:strike w:val="0"/>
          <w:sz w:val="20"/>
          <w:highlight w:val="cyan"/>
          <w:u w:val="single"/>
        </w:rPr>
        <w:t>Article</w:t>
      </w:r>
      <w:r>
        <w:rPr>
          <w:b w:val="0"/>
          <w:i w:val="0"/>
          <w:smallCaps w:val="0"/>
          <w:strike w:val="0"/>
          <w:sz w:val="20"/>
          <w:highlight w:val="cyan"/>
          <w:u w:val="single"/>
        </w:rPr>
        <w:t xml:space="preserve"> III</w:t>
      </w:r>
      <w:r>
        <w:rPr>
          <w:b w:val="0"/>
          <w:i w:val="0"/>
          <w:smallCaps w:val="0"/>
          <w:strike w:val="0"/>
          <w:sz w:val="20"/>
          <w:u w:val="single"/>
        </w:rPr>
        <w:t xml:space="preserve"> trial </w:t>
      </w:r>
      <w:r>
        <w:rPr>
          <w:b w:val="0"/>
          <w:i w:val="0"/>
          <w:smallCaps w:val="0"/>
          <w:strike w:val="0"/>
          <w:sz w:val="20"/>
          <w:highlight w:val="cyan"/>
          <w:u w:val="single"/>
        </w:rPr>
        <w:t>court will</w:t>
      </w:r>
      <w:r>
        <w:rPr>
          <w:b w:val="0"/>
          <w:i w:val="0"/>
          <w:smallCaps w:val="0"/>
          <w:strike w:val="0"/>
          <w:sz w:val="20"/>
          <w:u w:val="single"/>
        </w:rPr>
        <w:t xml:space="preserve"> need to </w:t>
      </w:r>
      <w:r>
        <w:rPr>
          <w:b w:val="0"/>
          <w:i w:val="0"/>
          <w:smallCaps w:val="0"/>
          <w:strike w:val="0"/>
          <w:sz w:val="20"/>
          <w:highlight w:val="cyan"/>
          <w:u w:val="single"/>
        </w:rPr>
        <w:t>perform</w:t>
      </w:r>
      <w:r>
        <w:rPr>
          <w:b w:val="0"/>
          <w:i w:val="0"/>
          <w:smallCaps w:val="0"/>
          <w:strike w:val="0"/>
          <w:sz w:val="20"/>
          <w:u w:val="single"/>
        </w:rPr>
        <w:t xml:space="preserve"> the </w:t>
      </w:r>
      <w:r>
        <w:rPr>
          <w:b w:val="0"/>
          <w:i w:val="0"/>
          <w:smallCaps w:val="0"/>
          <w:strike w:val="0"/>
          <w:sz w:val="20"/>
          <w:u w:val="single"/>
        </w:rPr>
        <w:t xml:space="preserve">final act of </w:t>
      </w:r>
      <w:r>
        <w:rPr>
          <w:b w:val="0"/>
          <w:i w:val="0"/>
          <w:smallCaps w:val="0"/>
          <w:strike w:val="0"/>
          <w:sz w:val="20"/>
          <w:highlight w:val="cyan"/>
          <w:u w:val="single"/>
        </w:rPr>
        <w:t>invalidation</w:t>
      </w:r>
      <w:r>
        <w:rPr>
          <w:b w:val="0"/>
          <w:i w:val="0"/>
          <w:smallCaps w:val="0"/>
          <w:strike w:val="0"/>
          <w:sz w:val="16"/>
          <w:u w:val="none"/>
        </w:rPr>
        <w:t>.</w:t>
      </w:r>
    </w:p>
    <w:p>
      <w:pPr>
        <w:spacing w:after="60"/>
      </w:pPr>
      <w:r>
        <w:rPr>
          <w:b w:val="0"/>
          <w:i w:val="0"/>
          <w:smallCaps w:val="0"/>
          <w:strike w:val="0"/>
          <w:sz w:val="16"/>
          <w:u w:val="none"/>
        </w:rPr>
        <w:t xml:space="preserve">More deeply, </w:t>
      </w:r>
      <w:r>
        <w:rPr>
          <w:b w:val="0"/>
          <w:i w:val="0"/>
          <w:smallCaps w:val="0"/>
          <w:strike w:val="0"/>
          <w:sz w:val="20"/>
          <w:highlight w:val="cyan"/>
          <w:u w:val="single"/>
        </w:rPr>
        <w:t>this</w:t>
      </w:r>
      <w:r>
        <w:rPr>
          <w:b w:val="0"/>
          <w:i w:val="0"/>
          <w:smallCaps w:val="0"/>
          <w:strike w:val="0"/>
          <w:sz w:val="16"/>
          <w:u w:val="none"/>
        </w:rPr>
        <w:t xml:space="preserve"> case </w:t>
      </w:r>
      <w:r>
        <w:rPr>
          <w:b w:val="0"/>
          <w:i w:val="0"/>
          <w:smallCaps w:val="0"/>
          <w:strike w:val="0"/>
          <w:sz w:val="20"/>
          <w:highlight w:val="cyan"/>
          <w:u w:val="single"/>
        </w:rPr>
        <w:t>presents</w:t>
      </w:r>
      <w:r>
        <w:rPr>
          <w:b w:val="0"/>
          <w:i w:val="0"/>
          <w:smallCaps w:val="0"/>
          <w:strike w:val="0"/>
          <w:sz w:val="20"/>
          <w:u w:val="single"/>
        </w:rPr>
        <w:t xml:space="preserve"> a </w:t>
      </w:r>
      <w:r>
        <w:rPr>
          <w:b w:val="0"/>
          <w:i w:val="0"/>
          <w:smallCaps w:val="0"/>
          <w:strike w:val="0"/>
          <w:sz w:val="20"/>
          <w:highlight w:val="cyan"/>
          <w:u w:val="single"/>
        </w:rPr>
        <w:t>rare chance to clarify</w:t>
      </w:r>
      <w:r>
        <w:rPr>
          <w:b w:val="0"/>
          <w:i w:val="0"/>
          <w:smallCaps w:val="0"/>
          <w:strike w:val="0"/>
          <w:sz w:val="16"/>
          <w:u w:val="none"/>
        </w:rPr>
        <w:t xml:space="preserve"> the Court’s </w:t>
      </w:r>
      <w:r>
        <w:rPr>
          <w:b w:val="0"/>
          <w:i w:val="0"/>
          <w:smallCaps w:val="0"/>
          <w:strike w:val="0"/>
          <w:sz w:val="20"/>
          <w:highlight w:val="cyan"/>
          <w:u w:val="single"/>
        </w:rPr>
        <w:t>public rights jurisprudence</w:t>
      </w:r>
      <w:r>
        <w:rPr>
          <w:b w:val="0"/>
          <w:i w:val="0"/>
          <w:smallCaps w:val="0"/>
          <w:strike w:val="0"/>
          <w:sz w:val="20"/>
          <w:u w:val="single"/>
        </w:rPr>
        <w:t xml:space="preserve">, especially </w:t>
      </w:r>
      <w:r>
        <w:rPr>
          <w:b w:val="0"/>
          <w:i w:val="0"/>
          <w:smallCaps w:val="0"/>
          <w:strike w:val="0"/>
          <w:sz w:val="20"/>
          <w:highlight w:val="cyan"/>
          <w:u w:val="single"/>
        </w:rPr>
        <w:t>in</w:t>
      </w:r>
      <w:r>
        <w:rPr>
          <w:b w:val="0"/>
          <w:i w:val="0"/>
          <w:smallCaps w:val="0"/>
          <w:strike w:val="0"/>
          <w:sz w:val="20"/>
          <w:u w:val="single"/>
        </w:rPr>
        <w:t xml:space="preserve"> the context of </w:t>
      </w:r>
      <w:r>
        <w:rPr>
          <w:b w:val="0"/>
          <w:i w:val="0"/>
          <w:smallCaps w:val="0"/>
          <w:strike w:val="0"/>
          <w:sz w:val="20"/>
          <w:highlight w:val="cyan"/>
          <w:u w:val="single"/>
        </w:rPr>
        <w:t>agency delegations</w:t>
      </w:r>
      <w:r>
        <w:rPr>
          <w:b w:val="0"/>
          <w:i w:val="0"/>
          <w:smallCaps w:val="0"/>
          <w:strike w:val="0"/>
          <w:sz w:val="20"/>
          <w:u w:val="single"/>
        </w:rPr>
        <w:t xml:space="preserve">. This significance extends </w:t>
      </w:r>
      <w:r>
        <w:rPr>
          <w:b w:val="0"/>
          <w:i w:val="0"/>
          <w:smallCaps w:val="0"/>
          <w:strike w:val="0"/>
          <w:sz w:val="20"/>
          <w:highlight w:val="cyan"/>
          <w:u w:val="single"/>
        </w:rPr>
        <w:t>beyond the patent system</w:t>
      </w:r>
      <w:r>
        <w:rPr>
          <w:b w:val="0"/>
          <w:i w:val="0"/>
          <w:smallCaps w:val="0"/>
          <w:strike w:val="0"/>
          <w:sz w:val="20"/>
          <w:highlight w:val="cyan"/>
          <w:u w:val="single"/>
        </w:rPr>
        <w:t>. Congress</w:t>
      </w:r>
      <w:r>
        <w:rPr>
          <w:b w:val="0"/>
          <w:i w:val="0"/>
          <w:smallCaps w:val="0"/>
          <w:strike w:val="0"/>
          <w:sz w:val="20"/>
          <w:u w:val="single"/>
        </w:rPr>
        <w:t xml:space="preserve"> presently </w:t>
      </w:r>
      <w:r>
        <w:rPr>
          <w:b w:val="0"/>
          <w:i w:val="0"/>
          <w:smallCaps w:val="0"/>
          <w:strike w:val="0"/>
          <w:sz w:val="20"/>
          <w:highlight w:val="cyan"/>
          <w:u w:val="single"/>
        </w:rPr>
        <w:t>lacks clear guidelines</w:t>
      </w:r>
      <w:r>
        <w:rPr>
          <w:b w:val="0"/>
          <w:i w:val="0"/>
          <w:smallCaps w:val="0"/>
          <w:strike w:val="0"/>
          <w:sz w:val="20"/>
          <w:u w:val="single"/>
        </w:rPr>
        <w:t xml:space="preserve"> on </w:t>
      </w:r>
      <w:r>
        <w:rPr>
          <w:b w:val="0"/>
          <w:i w:val="0"/>
          <w:smallCaps w:val="0"/>
          <w:strike w:val="0"/>
          <w:sz w:val="20"/>
          <w:highlight w:val="cyan"/>
          <w:u w:val="single"/>
        </w:rPr>
        <w:t>how it may</w:t>
      </w:r>
      <w:r>
        <w:rPr>
          <w:b w:val="0"/>
          <w:i w:val="0"/>
          <w:smallCaps w:val="0"/>
          <w:strike w:val="0"/>
          <w:sz w:val="20"/>
          <w:u w:val="single"/>
        </w:rPr>
        <w:t xml:space="preserve">, and how it </w:t>
      </w:r>
      <w:r>
        <w:rPr>
          <w:b w:val="0"/>
          <w:i w:val="0"/>
          <w:smallCaps w:val="0"/>
          <w:strike w:val="0"/>
          <w:sz w:val="20"/>
          <w:u w:val="single"/>
        </w:rPr>
        <w:t>may not</w:t>
      </w:r>
      <w:r>
        <w:rPr>
          <w:b w:val="0"/>
          <w:i w:val="0"/>
          <w:smallCaps w:val="0"/>
          <w:strike w:val="0"/>
          <w:sz w:val="20"/>
          <w:u w:val="single"/>
        </w:rPr>
        <w:t xml:space="preserve">, </w:t>
      </w:r>
      <w:r>
        <w:rPr>
          <w:b w:val="0"/>
          <w:i w:val="0"/>
          <w:smallCaps w:val="0"/>
          <w:strike w:val="0"/>
          <w:sz w:val="20"/>
          <w:highlight w:val="cyan"/>
          <w:u w:val="single"/>
        </w:rPr>
        <w:t>delegate</w:t>
      </w:r>
      <w:r>
        <w:rPr>
          <w:b w:val="0"/>
          <w:i w:val="0"/>
          <w:smallCaps w:val="0"/>
          <w:strike w:val="0"/>
          <w:sz w:val="20"/>
          <w:u w:val="single"/>
        </w:rPr>
        <w:t xml:space="preserve"> </w:t>
      </w:r>
      <w:r>
        <w:rPr>
          <w:b w:val="0"/>
          <w:i w:val="0"/>
          <w:smallCaps w:val="0"/>
          <w:strike w:val="0"/>
          <w:sz w:val="20"/>
          <w:u w:val="single"/>
        </w:rPr>
        <w:t>decisionmaking</w:t>
      </w:r>
      <w:r>
        <w:rPr>
          <w:b w:val="0"/>
          <w:i w:val="0"/>
          <w:smallCaps w:val="0"/>
          <w:strike w:val="0"/>
          <w:sz w:val="20"/>
          <w:u w:val="single"/>
        </w:rPr>
        <w:t xml:space="preserve"> powers to administrative agencies</w:t>
      </w:r>
      <w:r>
        <w:rPr>
          <w:b w:val="0"/>
          <w:i w:val="0"/>
          <w:smallCaps w:val="0"/>
          <w:strike w:val="0"/>
          <w:sz w:val="16"/>
          <w:u w:val="none"/>
        </w:rPr>
        <w:t xml:space="preserve"> without offending the Constitution. </w:t>
      </w:r>
      <w:r>
        <w:rPr>
          <w:b w:val="0"/>
          <w:i w:val="0"/>
          <w:smallCaps w:val="0"/>
          <w:strike w:val="0"/>
          <w:sz w:val="20"/>
          <w:u w:val="single"/>
        </w:rPr>
        <w:t xml:space="preserve">Litigants caught within </w:t>
      </w:r>
      <w:r>
        <w:rPr>
          <w:b w:val="0"/>
          <w:i w:val="0"/>
          <w:smallCaps w:val="0"/>
          <w:strike w:val="0"/>
          <w:sz w:val="20"/>
          <w:u w:val="single"/>
        </w:rPr>
        <w:t>questionable tribunals</w:t>
      </w:r>
      <w:r>
        <w:rPr>
          <w:b w:val="0"/>
          <w:i w:val="0"/>
          <w:smallCaps w:val="0"/>
          <w:strike w:val="0"/>
          <w:sz w:val="20"/>
          <w:u w:val="single"/>
        </w:rPr>
        <w:t xml:space="preserve"> are equally at sea in knowing whether and how to challenge them</w:t>
      </w:r>
      <w:r>
        <w:rPr>
          <w:b w:val="0"/>
          <w:i w:val="0"/>
          <w:smallCaps w:val="0"/>
          <w:strike w:val="0"/>
          <w:sz w:val="16"/>
          <w:u w:val="none"/>
        </w:rPr>
        <w:t xml:space="preserve">. And as this case shows, the </w:t>
      </w:r>
      <w:r>
        <w:rPr>
          <w:b w:val="0"/>
          <w:i w:val="0"/>
          <w:smallCaps w:val="0"/>
          <w:strike w:val="0"/>
          <w:sz w:val="20"/>
          <w:highlight w:val="cyan"/>
          <w:u w:val="single"/>
        </w:rPr>
        <w:t>lower courts</w:t>
      </w:r>
      <w:r>
        <w:rPr>
          <w:b w:val="0"/>
          <w:i w:val="0"/>
          <w:smallCaps w:val="0"/>
          <w:strike w:val="0"/>
          <w:sz w:val="16"/>
          <w:u w:val="none"/>
        </w:rPr>
        <w:t xml:space="preserve">, believing themselves to be applying this Court’s precedents, </w:t>
      </w:r>
      <w:r>
        <w:rPr>
          <w:b w:val="0"/>
          <w:i w:val="0"/>
          <w:smallCaps w:val="0"/>
          <w:strike w:val="0"/>
          <w:sz w:val="20"/>
          <w:u w:val="single"/>
        </w:rPr>
        <w:t xml:space="preserve">have </w:t>
      </w:r>
      <w:r>
        <w:rPr>
          <w:b w:val="0"/>
          <w:i w:val="0"/>
          <w:smallCaps w:val="0"/>
          <w:strike w:val="0"/>
          <w:sz w:val="20"/>
          <w:highlight w:val="cyan"/>
          <w:u w:val="single"/>
        </w:rPr>
        <w:t xml:space="preserve">reached </w:t>
      </w:r>
      <w:r>
        <w:rPr>
          <w:b w:val="0"/>
          <w:i w:val="0"/>
          <w:smallCaps w:val="0"/>
          <w:strike w:val="0"/>
          <w:sz w:val="20"/>
          <w:highlight w:val="cyan"/>
          <w:u w:val="single"/>
        </w:rPr>
        <w:t>absurd results</w:t>
      </w:r>
      <w:r>
        <w:rPr>
          <w:b w:val="0"/>
          <w:i w:val="0"/>
          <w:smallCaps w:val="0"/>
          <w:strike w:val="0"/>
          <w:sz w:val="20"/>
          <w:u w:val="single"/>
        </w:rPr>
        <w:t>. If something so obviously a “private right” under Article III jurisprudence</w:t>
      </w:r>
      <w:r>
        <w:rPr>
          <w:b w:val="0"/>
          <w:i w:val="0"/>
          <w:smallCaps w:val="0"/>
          <w:strike w:val="0"/>
          <w:sz w:val="16"/>
          <w:u w:val="none"/>
        </w:rPr>
        <w:t xml:space="preserve">, i.e., a private dispute with roots in the common law courts of 1789, </w:t>
      </w:r>
      <w:r>
        <w:rPr>
          <w:b w:val="0"/>
          <w:i w:val="0"/>
          <w:smallCaps w:val="0"/>
          <w:strike w:val="0"/>
          <w:sz w:val="20"/>
          <w:u w:val="single"/>
        </w:rPr>
        <w:t xml:space="preserve">may be denominated a “public right” </w:t>
      </w:r>
      <w:r>
        <w:rPr>
          <w:b w:val="0"/>
          <w:i w:val="0"/>
          <w:smallCaps w:val="0"/>
          <w:strike w:val="0"/>
          <w:sz w:val="20"/>
          <w:u w:val="single"/>
        </w:rPr>
        <w:t>in order to</w:t>
      </w:r>
      <w:r>
        <w:rPr>
          <w:b w:val="0"/>
          <w:i w:val="0"/>
          <w:smallCaps w:val="0"/>
          <w:strike w:val="0"/>
          <w:sz w:val="20"/>
          <w:u w:val="single"/>
        </w:rPr>
        <w:t xml:space="preserve"> shoehorn it into some of the less rigid statements by this Court about Article III</w:t>
      </w:r>
      <w:r>
        <w:rPr>
          <w:b w:val="0"/>
          <w:i w:val="0"/>
          <w:smallCaps w:val="0"/>
          <w:strike w:val="0"/>
          <w:sz w:val="16"/>
          <w:u w:val="none"/>
        </w:rPr>
        <w:t xml:space="preserve">, then </w:t>
      </w:r>
      <w:r>
        <w:rPr>
          <w:b w:val="0"/>
          <w:i w:val="0"/>
          <w:smallCaps w:val="0"/>
          <w:strike w:val="0"/>
          <w:sz w:val="20"/>
          <w:u w:val="single"/>
        </w:rPr>
        <w:t>something is wrong</w:t>
      </w:r>
      <w:r>
        <w:rPr>
          <w:b w:val="0"/>
          <w:i w:val="0"/>
          <w:smallCaps w:val="0"/>
          <w:strike w:val="0"/>
          <w:sz w:val="20"/>
          <w:u w:val="single"/>
        </w:rPr>
        <w:t xml:space="preserve"> with this Court’s past Article III guidance. The </w:t>
      </w:r>
      <w:r>
        <w:rPr>
          <w:b w:val="0"/>
          <w:i w:val="0"/>
          <w:smallCaps w:val="0"/>
          <w:strike w:val="0"/>
          <w:sz w:val="20"/>
          <w:highlight w:val="cyan"/>
          <w:u w:val="single"/>
        </w:rPr>
        <w:t>way forward lies in</w:t>
      </w:r>
      <w:r>
        <w:rPr>
          <w:b w:val="0"/>
          <w:i w:val="0"/>
          <w:smallCaps w:val="0"/>
          <w:strike w:val="0"/>
          <w:sz w:val="20"/>
          <w:u w:val="single"/>
        </w:rPr>
        <w:t xml:space="preserve"> unambiguously </w:t>
      </w:r>
      <w:r>
        <w:rPr>
          <w:b w:val="0"/>
          <w:i w:val="0"/>
          <w:smallCaps w:val="0"/>
          <w:strike w:val="0"/>
          <w:sz w:val="20"/>
          <w:highlight w:val="cyan"/>
          <w:u w:val="single"/>
        </w:rPr>
        <w:t>reaffirming</w:t>
      </w:r>
      <w:r>
        <w:rPr>
          <w:b w:val="0"/>
          <w:i w:val="0"/>
          <w:smallCaps w:val="0"/>
          <w:strike w:val="0"/>
          <w:sz w:val="16"/>
          <w:u w:val="none"/>
        </w:rPr>
        <w:t xml:space="preserve"> that </w:t>
      </w:r>
      <w:r>
        <w:rPr>
          <w:b w:val="0"/>
          <w:i w:val="0"/>
          <w:smallCaps w:val="0"/>
          <w:strike w:val="0"/>
          <w:sz w:val="20"/>
          <w:u w:val="single"/>
        </w:rPr>
        <w:t xml:space="preserve">the </w:t>
      </w:r>
      <w:r>
        <w:rPr>
          <w:b w:val="0"/>
          <w:i w:val="0"/>
          <w:smallCaps w:val="0"/>
          <w:strike w:val="0"/>
          <w:sz w:val="20"/>
          <w:highlight w:val="cyan"/>
          <w:u w:val="single"/>
        </w:rPr>
        <w:t>Stern v. Marshall “historical antecedents” test</w:t>
      </w:r>
      <w:r>
        <w:rPr>
          <w:b w:val="0"/>
          <w:i w:val="0"/>
          <w:smallCaps w:val="0"/>
          <w:strike w:val="0"/>
          <w:sz w:val="20"/>
          <w:u w:val="single"/>
        </w:rPr>
        <w:t xml:space="preserve"> is a threshold question that </w:t>
      </w:r>
      <w:r>
        <w:rPr>
          <w:b w:val="0"/>
          <w:i w:val="0"/>
          <w:smallCaps w:val="0"/>
          <w:strike w:val="0"/>
          <w:sz w:val="20"/>
          <w:highlight w:val="cyan"/>
          <w:u w:val="single"/>
        </w:rPr>
        <w:t>applies not just to</w:t>
      </w:r>
      <w:r>
        <w:rPr>
          <w:b w:val="0"/>
          <w:i w:val="0"/>
          <w:smallCaps w:val="0"/>
          <w:strike w:val="0"/>
          <w:sz w:val="20"/>
          <w:u w:val="single"/>
        </w:rPr>
        <w:t xml:space="preserve"> bankruptcy contexts, and not just </w:t>
      </w:r>
      <w:r>
        <w:rPr>
          <w:b w:val="0"/>
          <w:i w:val="0"/>
          <w:smallCaps w:val="0"/>
          <w:strike w:val="0"/>
          <w:sz w:val="20"/>
          <w:highlight w:val="cyan"/>
          <w:u w:val="single"/>
        </w:rPr>
        <w:t>state law, but</w:t>
      </w:r>
      <w:r>
        <w:rPr>
          <w:b w:val="0"/>
          <w:i w:val="0"/>
          <w:smallCaps w:val="0"/>
          <w:strike w:val="0"/>
          <w:sz w:val="20"/>
          <w:highlight w:val="cyan"/>
          <w:u w:val="single"/>
        </w:rPr>
        <w:t xml:space="preserve"> to </w:t>
      </w:r>
      <w:r>
        <w:rPr>
          <w:b w:val="0"/>
          <w:i w:val="0"/>
          <w:smallCaps w:val="0"/>
          <w:strike w:val="0"/>
          <w:sz w:val="20"/>
          <w:highlight w:val="cyan"/>
          <w:u w:val="single"/>
        </w:rPr>
        <w:t>Congress’s delegation of agency authority</w:t>
      </w:r>
      <w:r>
        <w:rPr>
          <w:b w:val="0"/>
          <w:i w:val="0"/>
          <w:smallCaps w:val="0"/>
          <w:strike w:val="0"/>
          <w:sz w:val="20"/>
          <w:u w:val="single"/>
        </w:rPr>
        <w:t xml:space="preserve"> and to federal law issues</w:t>
      </w:r>
      <w:r>
        <w:rPr>
          <w:b w:val="0"/>
          <w:i w:val="0"/>
          <w:smallCaps w:val="0"/>
          <w:strike w:val="0"/>
          <w:sz w:val="16"/>
          <w:u w:val="none"/>
        </w:rPr>
        <w:t xml:space="preserve"> as well.</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