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IPRs are more accessible to petitioners that acts in bad faith---PTAB shields them from court litigation and poses a lower bad for </w:t>
      </w:r>
      <w:r>
        <w:rPr>
          <w:b/>
          <w:i w:val="0"/>
          <w:smallCaps w:val="0"/>
          <w:strike w:val="0"/>
          <w:sz w:val="24"/>
          <w:u w:val="none"/>
        </w:rPr>
        <w:t>invalidation</w:t>
      </w:r>
      <w:r>
        <w:rPr>
          <w:b/>
          <w:i w:val="0"/>
          <w:smallCaps w:val="0"/>
          <w:strike w:val="0"/>
          <w:sz w:val="24"/>
          <w:u w:val="none"/>
        </w:rPr>
        <w:t xml:space="preserve">. </w:t>
      </w:r>
    </w:p>
    <w:p>
      <w:pPr>
        <w:spacing w:after="80"/>
      </w:pPr>
      <w:r>
        <w:rPr>
          <w:b w:val="0"/>
          <w:i w:val="0"/>
          <w:smallCaps w:val="0"/>
          <w:strike w:val="0"/>
          <w:sz w:val="20"/>
          <w:u w:val="none"/>
        </w:rPr>
        <w:t xml:space="preserve">Ge </w:t>
      </w:r>
      <w:r>
        <w:rPr>
          <w:b/>
          <w:i w:val="0"/>
          <w:smallCaps w:val="0"/>
          <w:strike w:val="0"/>
          <w:sz w:val="24"/>
          <w:u w:val="none"/>
        </w:rPr>
        <w:t>You 22</w:t>
      </w:r>
      <w:r>
        <w:rPr>
          <w:b w:val="0"/>
          <w:i w:val="0"/>
          <w:smallCaps w:val="0"/>
          <w:strike w:val="0"/>
          <w:sz w:val="20"/>
          <w:u w:val="none"/>
        </w:rPr>
        <w:t xml:space="preserve">. </w:t>
      </w:r>
      <w:r>
        <w:rPr>
          <w:b w:val="0"/>
          <w:i w:val="0"/>
          <w:smallCaps w:val="0"/>
          <w:strike w:val="0"/>
          <w:sz w:val="20"/>
          <w:u w:val="none"/>
        </w:rPr>
        <w:t>Executive Editor, Southern California Law Review, Volume 95; J.D. Candidate 2022,</w:t>
      </w:r>
      <w:r>
        <w:rPr>
          <w:b w:val="0"/>
          <w:i w:val="0"/>
          <w:smallCaps w:val="0"/>
          <w:strike w:val="0"/>
          <w:sz w:val="20"/>
          <w:u w:val="none"/>
        </w:rPr>
        <w:t xml:space="preserve"> </w:t>
      </w:r>
      <w:r>
        <w:rPr>
          <w:b w:val="0"/>
          <w:i w:val="0"/>
          <w:smallCaps w:val="0"/>
          <w:strike w:val="0"/>
          <w:sz w:val="20"/>
          <w:u w:val="none"/>
        </w:rPr>
        <w:t>University of Southern California Gould School of Law</w:t>
      </w:r>
      <w:r>
        <w:rPr>
          <w:b w:val="0"/>
          <w:i w:val="0"/>
          <w:smallCaps w:val="0"/>
          <w:strike w:val="0"/>
          <w:sz w:val="20"/>
          <w:u w:val="none"/>
        </w:rPr>
        <w:t xml:space="preserve">. </w:t>
      </w:r>
      <w:r>
        <w:rPr>
          <w:b w:val="0"/>
          <w:i w:val="0"/>
          <w:smallCaps w:val="0"/>
          <w:strike w:val="0"/>
          <w:sz w:val="20"/>
          <w:u w:val="none"/>
        </w:rPr>
        <w:t>“</w:t>
      </w:r>
      <w:r>
        <w:rPr>
          <w:b w:val="0"/>
          <w:i w:val="0"/>
          <w:smallCaps w:val="0"/>
          <w:strike w:val="0"/>
          <w:sz w:val="20"/>
          <w:u w:val="none"/>
        </w:rPr>
        <w:t>A CLOSER LOOK AT THE PTAB OPERATION</w:t>
      </w:r>
      <w:r>
        <w:rPr>
          <w:b w:val="0"/>
          <w:i w:val="0"/>
          <w:smallCaps w:val="0"/>
          <w:strike w:val="0"/>
          <w:sz w:val="20"/>
          <w:u w:val="none"/>
        </w:rPr>
        <w:t>.</w:t>
      </w:r>
      <w:r>
        <w:rPr>
          <w:b w:val="0"/>
          <w:i w:val="0"/>
          <w:smallCaps w:val="0"/>
          <w:strike w:val="0"/>
          <w:sz w:val="20"/>
          <w:u w:val="none"/>
        </w:rPr>
        <w:t>”</w:t>
      </w:r>
      <w:r>
        <w:rPr>
          <w:b w:val="0"/>
          <w:i w:val="0"/>
          <w:smallCaps w:val="0"/>
          <w:strike w:val="0"/>
          <w:sz w:val="20"/>
          <w:u w:val="none"/>
        </w:rPr>
        <w:t xml:space="preserve"> Hein Online. 2022. </w:t>
      </w:r>
      <w:r>
        <w:rPr>
          <w:b w:val="0"/>
          <w:i w:val="0"/>
          <w:smallCaps w:val="0"/>
          <w:strike w:val="0"/>
          <w:sz w:val="20"/>
          <w:u w:val="none"/>
        </w:rPr>
        <w:t>https://heinonline.org/HOL/LandingPage</w:t>
      </w:r>
      <w:r>
        <w:rPr>
          <w:b w:val="0"/>
          <w:i w:val="0"/>
          <w:smallCaps w:val="0"/>
          <w:strike w:val="0"/>
          <w:sz w:val="12"/>
          <w:u w:val="none"/>
        </w:rPr>
        <w:t>?</w:t>
      </w:r>
      <w:r>
        <w:rPr>
          <w:b w:val="0"/>
          <w:i w:val="0"/>
          <w:smallCaps w:val="0"/>
          <w:strike w:val="0"/>
          <w:sz w:val="20"/>
          <w:u w:val="none"/>
        </w:rPr>
        <w:t>handle=hein.journals/scal95&amp;div=23&amp;id=&amp;page=</w:t>
      </w:r>
      <w:r>
        <w:rPr>
          <w:b w:val="0"/>
          <w:i w:val="0"/>
          <w:smallCaps w:val="0"/>
          <w:strike w:val="0"/>
          <w:sz w:val="20"/>
          <w:u w:val="none"/>
        </w:rPr>
        <w:t xml:space="preserve"> //</w:t>
      </w:r>
    </w:p>
    <w:p>
      <w:pPr>
        <w:spacing w:after="60"/>
      </w:pPr>
      <w:r>
        <w:rPr>
          <w:b w:val="0"/>
          <w:i w:val="0"/>
          <w:smallCaps w:val="0"/>
          <w:strike w:val="0"/>
          <w:sz w:val="16"/>
          <w:u w:val="none"/>
        </w:rPr>
        <w:t>Due to its petitioner-friendly features,</w:t>
      </w:r>
      <w:r>
        <w:rPr>
          <w:b w:val="0"/>
          <w:i w:val="0"/>
          <w:smallCaps w:val="0"/>
          <w:strike w:val="0"/>
          <w:sz w:val="20"/>
          <w:u w:val="single"/>
        </w:rPr>
        <w:t xml:space="preserve"> </w:t>
      </w:r>
      <w:r>
        <w:rPr>
          <w:b w:val="0"/>
          <w:i w:val="0"/>
          <w:smallCaps w:val="0"/>
          <w:strike w:val="0"/>
          <w:sz w:val="20"/>
          <w:highlight w:val="cyan"/>
          <w:u w:val="single"/>
        </w:rPr>
        <w:t>IPRs</w:t>
      </w:r>
      <w:r>
        <w:rPr>
          <w:b w:val="0"/>
          <w:i w:val="0"/>
          <w:smallCaps w:val="0"/>
          <w:strike w:val="0"/>
          <w:sz w:val="20"/>
          <w:u w:val="single"/>
        </w:rPr>
        <w:t xml:space="preserve"> have </w:t>
      </w:r>
      <w:r>
        <w:rPr>
          <w:b w:val="0"/>
          <w:i w:val="0"/>
          <w:smallCaps w:val="0"/>
          <w:strike w:val="0"/>
          <w:sz w:val="20"/>
          <w:highlight w:val="cyan"/>
          <w:u w:val="single"/>
        </w:rPr>
        <w:t xml:space="preserve">been </w:t>
      </w:r>
      <w:r>
        <w:rPr>
          <w:b w:val="0"/>
          <w:i w:val="0"/>
          <w:smallCaps w:val="0"/>
          <w:strike w:val="0"/>
          <w:sz w:val="20"/>
          <w:highlight w:val="cyan"/>
          <w:u w:val="single"/>
        </w:rPr>
        <w:t>popular</w:t>
      </w:r>
      <w:r>
        <w:rPr>
          <w:b w:val="0"/>
          <w:i w:val="0"/>
          <w:smallCaps w:val="0"/>
          <w:strike w:val="0"/>
          <w:sz w:val="20"/>
          <w:highlight w:val="cyan"/>
          <w:u w:val="single"/>
        </w:rPr>
        <w:t xml:space="preserve"> within</w:t>
      </w:r>
      <w:r>
        <w:rPr>
          <w:b w:val="0"/>
          <w:i w:val="0"/>
          <w:smallCaps w:val="0"/>
          <w:strike w:val="0"/>
          <w:sz w:val="20"/>
          <w:u w:val="single"/>
        </w:rPr>
        <w:t xml:space="preserve"> patent </w:t>
      </w:r>
      <w:r>
        <w:rPr>
          <w:b w:val="0"/>
          <w:i w:val="0"/>
          <w:smallCaps w:val="0"/>
          <w:strike w:val="0"/>
          <w:sz w:val="20"/>
          <w:highlight w:val="cyan"/>
          <w:u w:val="single"/>
        </w:rPr>
        <w:t>challengers</w:t>
      </w:r>
      <w:r>
        <w:rPr>
          <w:b w:val="0"/>
          <w:i w:val="0"/>
          <w:smallCaps w:val="0"/>
          <w:strike w:val="0"/>
          <w:sz w:val="20"/>
          <w:u w:val="single"/>
        </w:rPr>
        <w:t>.</w:t>
      </w:r>
      <w:r>
        <w:rPr>
          <w:b w:val="0"/>
          <w:i w:val="0"/>
          <w:smallCaps w:val="0"/>
          <w:strike w:val="0"/>
          <w:sz w:val="16"/>
          <w:u w:val="none"/>
        </w:rPr>
        <w:t xml:space="preserve"> From September 16, 2012, the first date on which IPRs could be filed, to September 16, 2020, the USPTO received a total of 11,091 petitions seeking IPR, </w:t>
      </w:r>
      <w:r>
        <w:rPr>
          <w:b w:val="0"/>
          <w:i w:val="0"/>
          <w:smallCaps w:val="0"/>
          <w:strike w:val="0"/>
          <w:sz w:val="20"/>
          <w:u w:val="single"/>
        </w:rPr>
        <w:t xml:space="preserve">which </w:t>
      </w:r>
      <w:r>
        <w:rPr>
          <w:b w:val="0"/>
          <w:i w:val="0"/>
          <w:smallCaps w:val="0"/>
          <w:strike w:val="0"/>
          <w:sz w:val="20"/>
          <w:highlight w:val="cyan"/>
          <w:u w:val="single"/>
        </w:rPr>
        <w:t xml:space="preserve">amounts to </w:t>
      </w:r>
      <w:r>
        <w:rPr>
          <w:b w:val="0"/>
          <w:i w:val="0"/>
          <w:smallCaps w:val="0"/>
          <w:strike w:val="0"/>
          <w:sz w:val="20"/>
          <w:highlight w:val="cyan"/>
          <w:u w:val="single"/>
        </w:rPr>
        <w:t>93.5%</w:t>
      </w:r>
      <w:r>
        <w:rPr>
          <w:b w:val="0"/>
          <w:i w:val="0"/>
          <w:smallCaps w:val="0"/>
          <w:strike w:val="0"/>
          <w:sz w:val="20"/>
          <w:highlight w:val="cyan"/>
          <w:u w:val="single"/>
        </w:rPr>
        <w:t xml:space="preserve"> of</w:t>
      </w:r>
      <w:r>
        <w:rPr>
          <w:b w:val="0"/>
          <w:i w:val="0"/>
          <w:smallCaps w:val="0"/>
          <w:strike w:val="0"/>
          <w:sz w:val="20"/>
          <w:u w:val="single"/>
        </w:rPr>
        <w:t xml:space="preserve"> the total 11,860 </w:t>
      </w:r>
      <w:r>
        <w:rPr>
          <w:b w:val="0"/>
          <w:i w:val="0"/>
          <w:smallCaps w:val="0"/>
          <w:strike w:val="0"/>
          <w:sz w:val="20"/>
          <w:highlight w:val="cyan"/>
          <w:u w:val="single"/>
        </w:rPr>
        <w:t>petitions</w:t>
      </w:r>
      <w:r>
        <w:rPr>
          <w:b w:val="0"/>
          <w:i w:val="0"/>
          <w:smallCaps w:val="0"/>
          <w:strike w:val="0"/>
          <w:sz w:val="20"/>
          <w:u w:val="single"/>
        </w:rPr>
        <w:t xml:space="preserve"> filed for all types of PTAB trial proceedings.</w:t>
      </w:r>
      <w:r>
        <w:rPr>
          <w:b w:val="0"/>
          <w:i w:val="0"/>
          <w:smallCaps w:val="0"/>
          <w:strike w:val="0"/>
          <w:sz w:val="16"/>
          <w:u w:val="none"/>
        </w:rPr>
        <w:t xml:space="preserve">3 1 According to one Federal Circuit judge, </w:t>
      </w:r>
      <w:r>
        <w:rPr>
          <w:b w:val="0"/>
          <w:i w:val="0"/>
          <w:smallCaps w:val="0"/>
          <w:strike w:val="0"/>
          <w:sz w:val="20"/>
          <w:u w:val="single"/>
        </w:rPr>
        <w:t xml:space="preserve">the new PTAB post-grant proceedings "have </w:t>
      </w:r>
      <w:r>
        <w:rPr>
          <w:b w:val="0"/>
          <w:i w:val="0"/>
          <w:smallCaps w:val="0"/>
          <w:strike w:val="0"/>
          <w:sz w:val="20"/>
          <w:highlight w:val="cyan"/>
          <w:u w:val="single"/>
        </w:rPr>
        <w:t>become</w:t>
      </w:r>
      <w:r>
        <w:rPr>
          <w:b w:val="0"/>
          <w:i w:val="0"/>
          <w:smallCaps w:val="0"/>
          <w:strike w:val="0"/>
          <w:sz w:val="20"/>
          <w:u w:val="single"/>
        </w:rPr>
        <w:t xml:space="preserve"> the </w:t>
      </w:r>
      <w:r>
        <w:rPr>
          <w:b w:val="0"/>
          <w:i w:val="0"/>
          <w:smallCaps w:val="0"/>
          <w:strike w:val="0"/>
          <w:sz w:val="20"/>
          <w:highlight w:val="cyan"/>
          <w:u w:val="single"/>
        </w:rPr>
        <w:t xml:space="preserve">new frontier of </w:t>
      </w:r>
      <w:r>
        <w:rPr>
          <w:b w:val="0"/>
          <w:i w:val="0"/>
          <w:smallCaps w:val="0"/>
          <w:strike w:val="0"/>
          <w:sz w:val="20"/>
          <w:u w:val="single"/>
        </w:rPr>
        <w:t xml:space="preserve">patent </w:t>
      </w:r>
      <w:r>
        <w:rPr>
          <w:b w:val="0"/>
          <w:i w:val="0"/>
          <w:smallCaps w:val="0"/>
          <w:strike w:val="0"/>
          <w:sz w:val="20"/>
          <w:highlight w:val="cyan"/>
          <w:u w:val="single"/>
        </w:rPr>
        <w:t>litigation.</w:t>
      </w:r>
      <w:r>
        <w:rPr>
          <w:b w:val="0"/>
          <w:i w:val="0"/>
          <w:smallCaps w:val="0"/>
          <w:strike w:val="0"/>
          <w:sz w:val="20"/>
          <w:highlight w:val="cyan"/>
          <w:u w:val="single"/>
        </w:rPr>
        <w:t>"</w:t>
      </w:r>
      <w:r>
        <w:rPr>
          <w:b w:val="0"/>
          <w:i w:val="0"/>
          <w:smallCaps w:val="0"/>
          <w:strike w:val="0"/>
          <w:sz w:val="20"/>
          <w:u w:val="single"/>
        </w:rPr>
        <w:t xml:space="preserve"> 32</w:t>
      </w:r>
    </w:p>
    <w:p>
      <w:pPr>
        <w:spacing w:after="60"/>
      </w:pPr>
      <w:r>
        <w:rPr>
          <w:b w:val="0"/>
          <w:i w:val="0"/>
          <w:smallCaps w:val="0"/>
          <w:strike w:val="0"/>
          <w:sz w:val="16"/>
          <w:u w:val="none"/>
        </w:rPr>
        <w:t>Procedurally,</w:t>
      </w:r>
      <w:r>
        <w:rPr>
          <w:b w:val="0"/>
          <w:i w:val="0"/>
          <w:smallCaps w:val="0"/>
          <w:strike w:val="0"/>
          <w:sz w:val="20"/>
          <w:u w:val="single"/>
        </w:rPr>
        <w:t xml:space="preserve"> an </w:t>
      </w:r>
      <w:r>
        <w:rPr>
          <w:b w:val="0"/>
          <w:i w:val="0"/>
          <w:smallCaps w:val="0"/>
          <w:strike w:val="0"/>
          <w:sz w:val="20"/>
          <w:highlight w:val="cyan"/>
          <w:u w:val="single"/>
        </w:rPr>
        <w:t>IPR is</w:t>
      </w:r>
      <w:r>
        <w:rPr>
          <w:b w:val="0"/>
          <w:i w:val="0"/>
          <w:smallCaps w:val="0"/>
          <w:strike w:val="0"/>
          <w:sz w:val="20"/>
          <w:u w:val="single"/>
        </w:rPr>
        <w:t xml:space="preserve"> indeed cheaper and </w:t>
      </w:r>
      <w:r>
        <w:rPr>
          <w:b w:val="0"/>
          <w:i w:val="0"/>
          <w:smallCaps w:val="0"/>
          <w:strike w:val="0"/>
          <w:sz w:val="20"/>
          <w:highlight w:val="cyan"/>
          <w:u w:val="single"/>
        </w:rPr>
        <w:t>faster.</w:t>
      </w:r>
      <w:r>
        <w:rPr>
          <w:b w:val="0"/>
          <w:i w:val="0"/>
          <w:smallCaps w:val="0"/>
          <w:strike w:val="0"/>
          <w:sz w:val="16"/>
          <w:u w:val="none"/>
        </w:rPr>
        <w:t xml:space="preserve"> While a patent infringement litigation in a district court could cost between $2 million to $7 million, a PTAB invalidation proceeding usually only costs around $300,000.33 </w:t>
      </w:r>
      <w:r>
        <w:rPr>
          <w:b w:val="0"/>
          <w:i w:val="0"/>
          <w:smallCaps w:val="0"/>
          <w:strike w:val="0"/>
          <w:sz w:val="20"/>
          <w:u w:val="single"/>
        </w:rPr>
        <w:t xml:space="preserve">An IPR also resolves faster </w:t>
      </w:r>
      <w:r>
        <w:rPr>
          <w:b w:val="0"/>
          <w:i w:val="0"/>
          <w:smallCaps w:val="0"/>
          <w:strike w:val="0"/>
          <w:sz w:val="20"/>
          <w:highlight w:val="cyan"/>
          <w:u w:val="single"/>
        </w:rPr>
        <w:t>than</w:t>
      </w:r>
      <w:r>
        <w:rPr>
          <w:b w:val="0"/>
          <w:i w:val="0"/>
          <w:smallCaps w:val="0"/>
          <w:strike w:val="0"/>
          <w:sz w:val="20"/>
          <w:u w:val="single"/>
        </w:rPr>
        <w:t xml:space="preserve"> a typical district </w:t>
      </w:r>
      <w:r>
        <w:rPr>
          <w:b w:val="0"/>
          <w:i w:val="0"/>
          <w:smallCaps w:val="0"/>
          <w:strike w:val="0"/>
          <w:sz w:val="20"/>
          <w:highlight w:val="cyan"/>
          <w:u w:val="single"/>
        </w:rPr>
        <w:t>court</w:t>
      </w:r>
      <w:r>
        <w:rPr>
          <w:b w:val="0"/>
          <w:i w:val="0"/>
          <w:smallCaps w:val="0"/>
          <w:strike w:val="0"/>
          <w:sz w:val="20"/>
          <w:u w:val="single"/>
        </w:rPr>
        <w:t xml:space="preserve"> patent case,</w:t>
      </w:r>
      <w:r>
        <w:rPr>
          <w:b w:val="0"/>
          <w:i w:val="0"/>
          <w:smallCaps w:val="0"/>
          <w:strike w:val="0"/>
          <w:sz w:val="16"/>
          <w:u w:val="none"/>
        </w:rPr>
        <w:t xml:space="preserve"> as it is required by statute that the PTAB issues final verdicts within a year.34 District court litigation, on the other hand, could take years to get to trial. It is very common for to wait over a year just to receive the court's interpretation of the claims."</w:t>
      </w:r>
    </w:p>
    <w:p>
      <w:pPr>
        <w:spacing w:after="60"/>
      </w:pPr>
      <w:r>
        <w:rPr>
          <w:b w:val="0"/>
          <w:i w:val="0"/>
          <w:smallCaps w:val="0"/>
          <w:strike w:val="0"/>
          <w:sz w:val="16"/>
          <w:u w:val="none"/>
        </w:rPr>
        <w:t>Moreover, compared to Article III judges, administrative patent judges who preside over the PTAB are more technically equipped to address patent related questions because they are statutorily required to possess "competent</w:t>
      </w:r>
      <w:r>
        <w:rPr>
          <w:b w:val="0"/>
          <w:i w:val="0"/>
          <w:smallCaps w:val="0"/>
          <w:strike w:val="0"/>
          <w:sz w:val="16"/>
          <w:u w:val="none"/>
        </w:rPr>
        <w:t xml:space="preserve"> </w:t>
      </w:r>
      <w:r>
        <w:rPr>
          <w:b w:val="0"/>
          <w:i w:val="0"/>
          <w:smallCaps w:val="0"/>
          <w:strike w:val="0"/>
          <w:sz w:val="16"/>
          <w:u w:val="none"/>
        </w:rPr>
        <w:t>legal knowledge and scientific ability." 36 To many petitioners, this difference translates (at least purportedly) to more certainty in case outcomes because factf</w:t>
      </w:r>
      <w:r>
        <w:rPr>
          <w:b w:val="0"/>
          <w:i w:val="0"/>
          <w:smallCaps w:val="0"/>
          <w:strike w:val="0"/>
          <w:sz w:val="16"/>
          <w:u w:val="none"/>
        </w:rPr>
        <w:t>in</w:t>
      </w:r>
      <w:r>
        <w:rPr>
          <w:b w:val="0"/>
          <w:i w:val="0"/>
          <w:smallCaps w:val="0"/>
          <w:strike w:val="0"/>
          <w:sz w:val="16"/>
          <w:u w:val="none"/>
        </w:rPr>
        <w:t>ders at the PTAB are subject matter experts familiar with the technology at issue whereas factf</w:t>
      </w:r>
      <w:r>
        <w:rPr>
          <w:b w:val="0"/>
          <w:i w:val="0"/>
          <w:smallCaps w:val="0"/>
          <w:strike w:val="0"/>
          <w:sz w:val="16"/>
          <w:u w:val="none"/>
        </w:rPr>
        <w:t>in</w:t>
      </w:r>
      <w:r>
        <w:rPr>
          <w:b w:val="0"/>
          <w:i w:val="0"/>
          <w:smallCaps w:val="0"/>
          <w:strike w:val="0"/>
          <w:sz w:val="16"/>
          <w:u w:val="none"/>
        </w:rPr>
        <w:t xml:space="preserve">ders at the district courts are usually lay jury. Another corollary of this difference: </w:t>
      </w:r>
      <w:r>
        <w:rPr>
          <w:b w:val="0"/>
          <w:i w:val="0"/>
          <w:smallCaps w:val="0"/>
          <w:strike w:val="0"/>
          <w:sz w:val="20"/>
          <w:u w:val="single"/>
        </w:rPr>
        <w:t xml:space="preserve">a </w:t>
      </w:r>
      <w:r>
        <w:rPr>
          <w:b w:val="0"/>
          <w:i w:val="0"/>
          <w:smallCaps w:val="0"/>
          <w:strike w:val="0"/>
          <w:sz w:val="20"/>
          <w:highlight w:val="cyan"/>
          <w:u w:val="single"/>
        </w:rPr>
        <w:t>filing of</w:t>
      </w:r>
      <w:r>
        <w:rPr>
          <w:b w:val="0"/>
          <w:i w:val="0"/>
          <w:smallCaps w:val="0"/>
          <w:strike w:val="0"/>
          <w:sz w:val="20"/>
          <w:u w:val="single"/>
        </w:rPr>
        <w:t xml:space="preserve"> an </w:t>
      </w:r>
      <w:r>
        <w:rPr>
          <w:b w:val="0"/>
          <w:i w:val="0"/>
          <w:smallCaps w:val="0"/>
          <w:strike w:val="0"/>
          <w:sz w:val="20"/>
          <w:highlight w:val="cyan"/>
          <w:u w:val="single"/>
        </w:rPr>
        <w:t>IPR</w:t>
      </w:r>
      <w:r>
        <w:rPr>
          <w:b w:val="0"/>
          <w:i w:val="0"/>
          <w:smallCaps w:val="0"/>
          <w:strike w:val="0"/>
          <w:sz w:val="20"/>
          <w:u w:val="single"/>
        </w:rPr>
        <w:t xml:space="preserve"> tends to </w:t>
      </w:r>
      <w:r>
        <w:rPr>
          <w:b w:val="0"/>
          <w:i w:val="0"/>
          <w:smallCaps w:val="0"/>
          <w:strike w:val="0"/>
          <w:sz w:val="20"/>
          <w:highlight w:val="cyan"/>
          <w:u w:val="single"/>
        </w:rPr>
        <w:t>halt</w:t>
      </w:r>
      <w:r>
        <w:rPr>
          <w:b w:val="0"/>
          <w:i w:val="0"/>
          <w:smallCaps w:val="0"/>
          <w:strike w:val="0"/>
          <w:sz w:val="20"/>
          <w:u w:val="single"/>
        </w:rPr>
        <w:t xml:space="preserve"> district </w:t>
      </w:r>
      <w:r>
        <w:rPr>
          <w:b w:val="0"/>
          <w:i w:val="0"/>
          <w:smallCaps w:val="0"/>
          <w:strike w:val="0"/>
          <w:sz w:val="20"/>
          <w:highlight w:val="cyan"/>
          <w:u w:val="single"/>
        </w:rPr>
        <w:t>court litigation</w:t>
      </w:r>
      <w:r>
        <w:rPr>
          <w:b w:val="0"/>
          <w:i w:val="0"/>
          <w:smallCaps w:val="0"/>
          <w:strike w:val="0"/>
          <w:sz w:val="20"/>
          <w:u w:val="single"/>
        </w:rPr>
        <w:t xml:space="preserve"> (82% of the time, district courts stayed the patent suit once the patent is under validity review at the PTAB), 37 </w:t>
      </w:r>
      <w:r>
        <w:rPr>
          <w:b w:val="0"/>
          <w:i w:val="0"/>
          <w:smallCaps w:val="0"/>
          <w:strike w:val="0"/>
          <w:sz w:val="20"/>
          <w:highlight w:val="cyan"/>
          <w:u w:val="single"/>
        </w:rPr>
        <w:t>acting as</w:t>
      </w:r>
      <w:r>
        <w:rPr>
          <w:b w:val="0"/>
          <w:i w:val="0"/>
          <w:smallCaps w:val="0"/>
          <w:strike w:val="0"/>
          <w:sz w:val="20"/>
          <w:u w:val="single"/>
        </w:rPr>
        <w:t xml:space="preserve"> a </w:t>
      </w:r>
      <w:r>
        <w:rPr>
          <w:b w:val="0"/>
          <w:i w:val="0"/>
          <w:smallCaps w:val="0"/>
          <w:strike w:val="0"/>
          <w:sz w:val="20"/>
          <w:highlight w:val="cyan"/>
          <w:u w:val="single"/>
        </w:rPr>
        <w:t>powerful shield</w:t>
      </w:r>
      <w:r>
        <w:rPr>
          <w:b w:val="0"/>
          <w:i w:val="0"/>
          <w:smallCaps w:val="0"/>
          <w:strike w:val="0"/>
          <w:sz w:val="20"/>
          <w:u w:val="single"/>
        </w:rPr>
        <w:t xml:space="preserve"> for accused infringers.</w:t>
      </w:r>
    </w:p>
    <w:p>
      <w:pPr>
        <w:spacing w:after="60"/>
      </w:pPr>
      <w:r>
        <w:rPr>
          <w:b w:val="0"/>
          <w:i w:val="0"/>
          <w:smallCaps w:val="0"/>
          <w:strike w:val="0"/>
          <w:sz w:val="16"/>
          <w:u w:val="none"/>
        </w:rPr>
        <w:t>Additionally,</w:t>
      </w:r>
      <w:r>
        <w:rPr>
          <w:b w:val="0"/>
          <w:i w:val="0"/>
          <w:smallCaps w:val="0"/>
          <w:strike w:val="0"/>
          <w:sz w:val="20"/>
          <w:u w:val="single"/>
        </w:rPr>
        <w:t xml:space="preserve"> </w:t>
      </w:r>
      <w:r>
        <w:rPr>
          <w:b w:val="0"/>
          <w:i w:val="0"/>
          <w:smallCaps w:val="0"/>
          <w:strike w:val="0"/>
          <w:sz w:val="20"/>
          <w:highlight w:val="cyan"/>
          <w:u w:val="single"/>
        </w:rPr>
        <w:t>IPRs incorporate</w:t>
      </w:r>
      <w:r>
        <w:rPr>
          <w:b w:val="0"/>
          <w:i w:val="0"/>
          <w:smallCaps w:val="0"/>
          <w:strike w:val="0"/>
          <w:sz w:val="20"/>
          <w:u w:val="single"/>
        </w:rPr>
        <w:t xml:space="preserve"> a more </w:t>
      </w:r>
      <w:r>
        <w:rPr>
          <w:b w:val="0"/>
          <w:i w:val="0"/>
          <w:smallCaps w:val="0"/>
          <w:strike w:val="0"/>
          <w:sz w:val="20"/>
          <w:highlight w:val="cyan"/>
          <w:u w:val="single"/>
        </w:rPr>
        <w:t>relaxed</w:t>
      </w:r>
      <w:r>
        <w:rPr>
          <w:b w:val="0"/>
          <w:i w:val="0"/>
          <w:smallCaps w:val="0"/>
          <w:strike w:val="0"/>
          <w:sz w:val="20"/>
          <w:highlight w:val="cyan"/>
          <w:u w:val="single"/>
        </w:rPr>
        <w:t xml:space="preserve"> evidentiary standard</w:t>
      </w:r>
      <w:r>
        <w:rPr>
          <w:b w:val="0"/>
          <w:i w:val="0"/>
          <w:smallCaps w:val="0"/>
          <w:strike w:val="0"/>
          <w:sz w:val="20"/>
          <w:u w:val="single"/>
        </w:rPr>
        <w:t xml:space="preserve"> for patent challengers. The PTAB can "cancel" a patent </w:t>
      </w:r>
      <w:r>
        <w:rPr>
          <w:b w:val="0"/>
          <w:i w:val="0"/>
          <w:smallCaps w:val="0"/>
          <w:strike w:val="0"/>
          <w:sz w:val="20"/>
          <w:u w:val="single"/>
        </w:rPr>
        <w:t xml:space="preserve">as long </w:t>
      </w:r>
      <w:r>
        <w:rPr>
          <w:b w:val="0"/>
          <w:i w:val="0"/>
          <w:smallCaps w:val="0"/>
          <w:strike w:val="0"/>
          <w:sz w:val="20"/>
          <w:highlight w:val="cyan"/>
          <w:u w:val="single"/>
        </w:rPr>
        <w:t>as</w:t>
      </w:r>
      <w:r>
        <w:rPr>
          <w:b w:val="0"/>
          <w:i w:val="0"/>
          <w:smallCaps w:val="0"/>
          <w:strike w:val="0"/>
          <w:sz w:val="20"/>
          <w:highlight w:val="cyan"/>
          <w:u w:val="single"/>
        </w:rPr>
        <w:t xml:space="preserve"> there is</w:t>
      </w:r>
      <w:r>
        <w:rPr>
          <w:b w:val="0"/>
          <w:i w:val="0"/>
          <w:smallCaps w:val="0"/>
          <w:strike w:val="0"/>
          <w:sz w:val="20"/>
          <w:u w:val="single"/>
        </w:rPr>
        <w:t xml:space="preserve"> a preponderance of </w:t>
      </w:r>
      <w:r>
        <w:rPr>
          <w:b w:val="0"/>
          <w:i w:val="0"/>
          <w:smallCaps w:val="0"/>
          <w:strike w:val="0"/>
          <w:sz w:val="20"/>
          <w:highlight w:val="cyan"/>
          <w:u w:val="single"/>
        </w:rPr>
        <w:t>ev</w:t>
      </w:r>
      <w:r>
        <w:rPr>
          <w:b w:val="0"/>
          <w:i w:val="0"/>
          <w:smallCaps w:val="0"/>
          <w:strike w:val="0"/>
          <w:sz w:val="20"/>
          <w:u w:val="single"/>
        </w:rPr>
        <w:t xml:space="preserve">idence rather than by clear and convincing evidence, </w:t>
      </w:r>
      <w:r>
        <w:rPr>
          <w:b w:val="0"/>
          <w:i w:val="0"/>
          <w:smallCaps w:val="0"/>
          <w:strike w:val="0"/>
          <w:sz w:val="16"/>
          <w:u w:val="none"/>
        </w:rPr>
        <w:t xml:space="preserve">a more stringent standard required in Article III courts. 38 Lastly, when it came to claim construction, 39 </w:t>
      </w:r>
      <w:r>
        <w:rPr>
          <w:b w:val="0"/>
          <w:i w:val="0"/>
          <w:smallCaps w:val="0"/>
          <w:strike w:val="0"/>
          <w:sz w:val="20"/>
          <w:u w:val="single"/>
        </w:rPr>
        <w:t xml:space="preserve">the </w:t>
      </w:r>
      <w:r>
        <w:rPr>
          <w:b w:val="0"/>
          <w:i w:val="0"/>
          <w:smallCaps w:val="0"/>
          <w:strike w:val="0"/>
          <w:sz w:val="20"/>
          <w:highlight w:val="cyan"/>
          <w:u w:val="single"/>
        </w:rPr>
        <w:t>PTAB used</w:t>
      </w:r>
      <w:r>
        <w:rPr>
          <w:b w:val="0"/>
          <w:i w:val="0"/>
          <w:smallCaps w:val="0"/>
          <w:strike w:val="0"/>
          <w:sz w:val="20"/>
          <w:u w:val="single"/>
        </w:rPr>
        <w:t xml:space="preserve"> a </w:t>
      </w:r>
      <w:r>
        <w:rPr>
          <w:b w:val="0"/>
          <w:i w:val="0"/>
          <w:smallCaps w:val="0"/>
          <w:strike w:val="0"/>
          <w:sz w:val="20"/>
          <w:highlight w:val="cyan"/>
          <w:u w:val="single"/>
        </w:rPr>
        <w:t>different standard</w:t>
      </w:r>
      <w:r>
        <w:rPr>
          <w:b w:val="0"/>
          <w:i w:val="0"/>
          <w:smallCaps w:val="0"/>
          <w:strike w:val="0"/>
          <w:sz w:val="20"/>
          <w:highlight w:val="cyan"/>
          <w:u w:val="single"/>
        </w:rPr>
        <w:t xml:space="preserve"> from</w:t>
      </w:r>
      <w:r>
        <w:rPr>
          <w:b w:val="0"/>
          <w:i w:val="0"/>
          <w:smallCaps w:val="0"/>
          <w:strike w:val="0"/>
          <w:sz w:val="20"/>
          <w:u w:val="single"/>
        </w:rPr>
        <w:t xml:space="preserve"> the district </w:t>
      </w:r>
      <w:r>
        <w:rPr>
          <w:b w:val="0"/>
          <w:i w:val="0"/>
          <w:smallCaps w:val="0"/>
          <w:strike w:val="0"/>
          <w:sz w:val="20"/>
          <w:highlight w:val="cyan"/>
          <w:u w:val="single"/>
        </w:rPr>
        <w:t>court</w:t>
      </w:r>
      <w:r>
        <w:rPr>
          <w:b w:val="0"/>
          <w:i w:val="0"/>
          <w:smallCaps w:val="0"/>
          <w:strike w:val="0"/>
          <w:sz w:val="20"/>
          <w:u w:val="single"/>
        </w:rPr>
        <w:t>. The PTAB applied a standard of claim construction that gives claims their "broadest reasonable interpretation.</w:t>
      </w:r>
      <w:r>
        <w:rPr>
          <w:b w:val="0"/>
          <w:i w:val="0"/>
          <w:smallCaps w:val="0"/>
          <w:strike w:val="0"/>
          <w:sz w:val="16"/>
          <w:u w:val="none"/>
        </w:rPr>
        <w:t>"40 In other words, the previous method PTAB used to interpret the scope of the patent made it easier for petitioners to find more prior art references to destroy the challenged patent's supposed novelty, something that petitioners could not accomplish under the district court standard.4 1</w:t>
      </w:r>
    </w:p>
    <w:p>
      <w:pPr>
        <w:spacing w:after="60"/>
      </w:pPr>
      <w:r>
        <w:rPr>
          <w:b w:val="0"/>
          <w:i w:val="0"/>
          <w:smallCaps w:val="0"/>
          <w:strike w:val="0"/>
          <w:sz w:val="16"/>
          <w:u w:val="none"/>
        </w:rPr>
        <w:t xml:space="preserve">As a testament of its extreme popularity, </w:t>
      </w:r>
      <w:r>
        <w:rPr>
          <w:b w:val="0"/>
          <w:i w:val="0"/>
          <w:smallCaps w:val="0"/>
          <w:strike w:val="0"/>
          <w:sz w:val="20"/>
          <w:u w:val="single"/>
        </w:rPr>
        <w:t xml:space="preserve">the </w:t>
      </w:r>
      <w:r>
        <w:rPr>
          <w:b w:val="0"/>
          <w:i w:val="0"/>
          <w:smallCaps w:val="0"/>
          <w:strike w:val="0"/>
          <w:sz w:val="20"/>
          <w:highlight w:val="cyan"/>
          <w:u w:val="single"/>
        </w:rPr>
        <w:t>PTAB received 7,930 IPR requests</w:t>
      </w:r>
      <w:r>
        <w:rPr>
          <w:b w:val="0"/>
          <w:i w:val="0"/>
          <w:smallCaps w:val="0"/>
          <w:strike w:val="0"/>
          <w:sz w:val="20"/>
          <w:u w:val="single"/>
        </w:rPr>
        <w:t xml:space="preserve"> in the first five years of its inception, </w:t>
      </w:r>
      <w:r>
        <w:rPr>
          <w:b w:val="0"/>
          <w:i w:val="0"/>
          <w:smallCaps w:val="0"/>
          <w:strike w:val="0"/>
          <w:sz w:val="20"/>
          <w:u w:val="single"/>
        </w:rPr>
        <w:t>comparing</w:t>
      </w:r>
      <w:r>
        <w:rPr>
          <w:b w:val="0"/>
          <w:i w:val="0"/>
          <w:smallCaps w:val="0"/>
          <w:strike w:val="0"/>
          <w:sz w:val="20"/>
          <w:u w:val="single"/>
        </w:rPr>
        <w:t xml:space="preserve"> to its predecessor inter partes reexamination, </w:t>
      </w:r>
      <w:r>
        <w:rPr>
          <w:b w:val="0"/>
          <w:i w:val="0"/>
          <w:smallCaps w:val="0"/>
          <w:strike w:val="0"/>
          <w:sz w:val="16"/>
          <w:u w:val="none"/>
        </w:rPr>
        <w:t>which received fifty-three requests in its first five years of existence. 4 2 By June 2020, out of all petitions, 34% reached final written decisions and the rest were denied institution or settled.43 In fact, the first eight-plus years of results are decidedly in favor of the challengers who petition to invalidate patents, with an invalidation rate of 80% out of all</w:t>
      </w:r>
      <w:r>
        <w:rPr>
          <w:b w:val="0"/>
          <w:i w:val="0"/>
          <w:smallCaps w:val="0"/>
          <w:strike w:val="0"/>
          <w:sz w:val="16"/>
          <w:u w:val="none"/>
        </w:rPr>
        <w:t xml:space="preserve"> </w:t>
      </w:r>
      <w:r>
        <w:rPr>
          <w:b w:val="0"/>
          <w:i w:val="0"/>
          <w:smallCaps w:val="0"/>
          <w:strike w:val="0"/>
          <w:sz w:val="16"/>
          <w:u w:val="none"/>
        </w:rPr>
        <w:t>instituted petitions. 44 At the same time, precisely because so many patents have been invalidated since the inception of PTAB, the IPR proceeding was referred to as "death squad," a term coined by the former Chief Judge Randal Rader at the Federal Circuit.45</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