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The </w:t>
      </w:r>
      <w:r>
        <w:rPr>
          <w:b/>
          <w:i w:val="0"/>
          <w:smallCaps w:val="0"/>
          <w:strike w:val="0"/>
          <w:sz w:val="24"/>
          <w:u w:val="none"/>
        </w:rPr>
        <w:t>aff</w:t>
      </w:r>
      <w:r>
        <w:rPr>
          <w:b/>
          <w:i w:val="0"/>
          <w:smallCaps w:val="0"/>
          <w:strike w:val="0"/>
          <w:sz w:val="24"/>
          <w:u w:val="none"/>
        </w:rPr>
        <w:t xml:space="preserve"> is key---supreme court actions </w:t>
      </w:r>
      <w:r>
        <w:rPr>
          <w:b/>
          <w:i w:val="0"/>
          <w:smallCaps w:val="0"/>
          <w:strike w:val="0"/>
          <w:sz w:val="24"/>
          <w:u w:val="none"/>
        </w:rPr>
        <w:t>are</w:t>
      </w:r>
      <w:r>
        <w:rPr>
          <w:b/>
          <w:i w:val="0"/>
          <w:smallCaps w:val="0"/>
          <w:strike w:val="0"/>
          <w:sz w:val="24"/>
          <w:u w:val="none"/>
        </w:rPr>
        <w:t xml:space="preserve"> gathering </w:t>
      </w:r>
      <w:r>
        <w:rPr>
          <w:b/>
          <w:i w:val="0"/>
          <w:smallCaps w:val="0"/>
          <w:strike w:val="0"/>
          <w:sz w:val="24"/>
          <w:u w:val="none"/>
        </w:rPr>
        <w:t>momentum</w:t>
      </w:r>
      <w:r>
        <w:rPr>
          <w:b/>
          <w:i w:val="0"/>
          <w:smallCaps w:val="0"/>
          <w:strike w:val="0"/>
          <w:sz w:val="24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none"/>
        </w:rPr>
        <w:t>curb</w:t>
      </w:r>
      <w:r>
        <w:rPr>
          <w:b/>
          <w:i w:val="0"/>
          <w:smallCaps w:val="0"/>
          <w:strike w:val="0"/>
          <w:sz w:val="24"/>
          <w:u w:val="none"/>
        </w:rPr>
        <w:t xml:space="preserve"> PTAB</w:t>
      </w:r>
      <w:r>
        <w:rPr>
          <w:b/>
          <w:i w:val="0"/>
          <w:smallCaps w:val="0"/>
          <w:strike w:val="0"/>
          <w:sz w:val="24"/>
          <w:u w:val="none"/>
        </w:rPr>
        <w:t>’</w:t>
      </w:r>
      <w:r>
        <w:rPr>
          <w:b/>
          <w:i w:val="0"/>
          <w:smallCaps w:val="0"/>
          <w:strike w:val="0"/>
          <w:sz w:val="24"/>
          <w:u w:val="none"/>
        </w:rPr>
        <w:t xml:space="preserve">s influence.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Ge </w:t>
      </w:r>
      <w:r>
        <w:rPr>
          <w:b/>
          <w:i w:val="0"/>
          <w:smallCaps w:val="0"/>
          <w:strike w:val="0"/>
          <w:sz w:val="24"/>
          <w:u w:val="none"/>
        </w:rPr>
        <w:t>You 22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Executive Editor, Southern California Law Review, Volume 95; J.D. Candidate 2022,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University of Southern California Gould School of Law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none"/>
        </w:rPr>
        <w:t>A CLOSER LOOK AT THE PTAB OPERATION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Hein Online. 2022. </w:t>
      </w:r>
      <w:r>
        <w:rPr>
          <w:b w:val="0"/>
          <w:i w:val="0"/>
          <w:smallCaps w:val="0"/>
          <w:strike w:val="0"/>
          <w:sz w:val="20"/>
          <w:u w:val="none"/>
        </w:rPr>
        <w:t>https://heinonline.org/HOL/LandingPage</w:t>
      </w:r>
      <w:r>
        <w:rPr>
          <w:b w:val="0"/>
          <w:i w:val="0"/>
          <w:smallCaps w:val="0"/>
          <w:strike w:val="0"/>
          <w:sz w:val="12"/>
          <w:u w:val="none"/>
        </w:rPr>
        <w:t>?</w:t>
      </w:r>
      <w:r>
        <w:rPr>
          <w:b w:val="0"/>
          <w:i w:val="0"/>
          <w:smallCaps w:val="0"/>
          <w:strike w:val="0"/>
          <w:sz w:val="20"/>
          <w:u w:val="none"/>
        </w:rPr>
        <w:t>handle=hein.journals/scal95&amp;div=23&amp;id=&amp;page=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Within the same year, the Court took a different direction in SAS Institute Inc. v. Iancu.66 In the opinion penned by Justice Gorsuch, who objected to Oil States in the same term,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Court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denied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PTAB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discretion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partial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institution or partial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decision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67 The Court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reasoned 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PTAB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"cannot curate the claims at issue 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must decide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," effectively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banning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agency's long-time practice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reviewing only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subset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claims.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68 The holding of SAS Institute forces the PTAB to address the patentability of all claims challenged by the petitioner in its final written decisions. 69 As a result, decisions on IPRs become more final, which in turn incentivizes district courts to grant stays when there is a concurrent IPR proceeding under review. This could be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step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right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direction to protect patent owners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because pre-SAS Institute guidance,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petitioners feared little in being over-inclusive in their arguments. 7 0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Before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SAS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stitute, there was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 harm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putting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forward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failed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arg</w:t>
      </w:r>
      <w:r>
        <w:rPr>
          <w:b w:val="0"/>
          <w:i w:val="0"/>
          <w:smallCaps w:val="0"/>
          <w:strike w:val="0"/>
          <w:sz w:val="20"/>
          <w:u w:val="single"/>
        </w:rPr>
        <w:t>uments.71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