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w:t>
      </w:r>
      <w:r>
        <w:rPr>
          <w:b/>
          <w:i w:val="0"/>
          <w:smallCaps w:val="0"/>
          <w:strike w:val="0"/>
          <w:sz w:val="24"/>
          <w:u w:val="none"/>
        </w:rPr>
        <w:t>u</w:t>
      </w:r>
      <w:r>
        <w:rPr>
          <w:b/>
          <w:i w:val="0"/>
          <w:smallCaps w:val="0"/>
          <w:strike w:val="0"/>
          <w:sz w:val="24"/>
          <w:u w:val="none"/>
        </w:rPr>
        <w:t xml:space="preserve">rrent drug patents are unpatentable---PTAB </w:t>
      </w:r>
      <w:r>
        <w:rPr>
          <w:b/>
          <w:i w:val="0"/>
          <w:smallCaps w:val="0"/>
          <w:strike w:val="0"/>
          <w:sz w:val="24"/>
          <w:u w:val="none"/>
        </w:rPr>
        <w:t>invalidat</w:t>
      </w:r>
      <w:r>
        <w:rPr>
          <w:b/>
          <w:i w:val="0"/>
          <w:smallCaps w:val="0"/>
          <w:strike w:val="0"/>
          <w:sz w:val="24"/>
          <w:u w:val="none"/>
        </w:rPr>
        <w:t xml:space="preserve">ed anti-body drug conjugates under section 112. </w:t>
      </w:r>
    </w:p>
    <w:p>
      <w:pPr>
        <w:spacing w:after="80"/>
      </w:pPr>
      <w:r>
        <w:rPr>
          <w:b w:val="0"/>
          <w:i w:val="0"/>
          <w:smallCaps w:val="0"/>
          <w:strike w:val="0"/>
          <w:sz w:val="20"/>
          <w:u w:val="none"/>
        </w:rPr>
        <w:t xml:space="preserve">Gregory </w:t>
      </w:r>
      <w:r>
        <w:rPr>
          <w:b/>
          <w:i w:val="0"/>
          <w:smallCaps w:val="0"/>
          <w:strike w:val="0"/>
          <w:sz w:val="24"/>
          <w:u w:val="none"/>
        </w:rPr>
        <w:t>Gutierrez</w:t>
      </w:r>
      <w:r>
        <w:rPr>
          <w:b/>
          <w:i w:val="0"/>
          <w:smallCaps w:val="0"/>
          <w:strike w:val="0"/>
          <w:sz w:val="24"/>
          <w:u w:val="none"/>
        </w:rPr>
        <w:t xml:space="preserve"> 24</w:t>
      </w:r>
      <w:r>
        <w:rPr>
          <w:b w:val="0"/>
          <w:i w:val="0"/>
          <w:smallCaps w:val="0"/>
          <w:strike w:val="0"/>
          <w:sz w:val="20"/>
          <w:u w:val="none"/>
        </w:rPr>
        <w:t xml:space="preserve">. </w:t>
      </w:r>
      <w:r>
        <w:rPr>
          <w:b w:val="0"/>
          <w:i w:val="0"/>
          <w:smallCaps w:val="0"/>
          <w:strike w:val="0"/>
          <w:sz w:val="20"/>
          <w:u w:val="none"/>
        </w:rPr>
        <w:t>JD</w:t>
      </w:r>
      <w:r>
        <w:rPr>
          <w:b w:val="0"/>
          <w:i w:val="0"/>
          <w:smallCaps w:val="0"/>
          <w:strike w:val="0"/>
          <w:sz w:val="20"/>
          <w:u w:val="none"/>
        </w:rPr>
        <w:t xml:space="preserve"> from </w:t>
      </w:r>
      <w:r>
        <w:rPr>
          <w:b w:val="0"/>
          <w:i w:val="0"/>
          <w:smallCaps w:val="0"/>
          <w:strike w:val="0"/>
          <w:sz w:val="20"/>
          <w:u w:val="none"/>
        </w:rPr>
        <w:t>Suffolk University Law School</w:t>
      </w:r>
      <w:r>
        <w:rPr>
          <w:b w:val="0"/>
          <w:i w:val="0"/>
          <w:smallCaps w:val="0"/>
          <w:strike w:val="0"/>
          <w:sz w:val="20"/>
          <w:u w:val="none"/>
        </w:rPr>
        <w:t xml:space="preserve"> and </w:t>
      </w:r>
      <w:r>
        <w:rPr>
          <w:b w:val="0"/>
          <w:i w:val="0"/>
          <w:smallCaps w:val="0"/>
          <w:strike w:val="0"/>
          <w:sz w:val="20"/>
          <w:u w:val="none"/>
        </w:rPr>
        <w:t>PhD</w:t>
      </w:r>
      <w:r>
        <w:rPr>
          <w:b w:val="0"/>
          <w:i w:val="0"/>
          <w:smallCaps w:val="0"/>
          <w:strike w:val="0"/>
          <w:sz w:val="20"/>
          <w:u w:val="none"/>
        </w:rPr>
        <w:t xml:space="preserve"> from the </w:t>
      </w:r>
      <w:r>
        <w:rPr>
          <w:b w:val="0"/>
          <w:i w:val="0"/>
          <w:smallCaps w:val="0"/>
          <w:strike w:val="0"/>
          <w:sz w:val="20"/>
          <w:u w:val="none"/>
        </w:rPr>
        <w:t>Massachusetts Institute of Technology</w:t>
      </w:r>
      <w:r>
        <w:rPr>
          <w:b w:val="0"/>
          <w:i w:val="0"/>
          <w:smallCaps w:val="0"/>
          <w:strike w:val="0"/>
          <w:sz w:val="20"/>
          <w:u w:val="none"/>
        </w:rPr>
        <w:t xml:space="preserve">. </w:t>
      </w:r>
      <w:r>
        <w:rPr>
          <w:b w:val="0"/>
          <w:i w:val="0"/>
          <w:smallCaps w:val="0"/>
          <w:strike w:val="0"/>
          <w:sz w:val="20"/>
          <w:u w:val="none"/>
        </w:rPr>
        <w:t xml:space="preserve">“PTAB Issues Final Written Decision Finding </w:t>
      </w:r>
      <w:r>
        <w:rPr>
          <w:b w:val="0"/>
          <w:i w:val="0"/>
          <w:smallCaps w:val="0"/>
          <w:strike w:val="0"/>
          <w:sz w:val="20"/>
          <w:u w:val="none"/>
        </w:rPr>
        <w:t>Seagen</w:t>
      </w:r>
      <w:r>
        <w:rPr>
          <w:b w:val="0"/>
          <w:i w:val="0"/>
          <w:smallCaps w:val="0"/>
          <w:strike w:val="0"/>
          <w:sz w:val="20"/>
          <w:u w:val="none"/>
        </w:rPr>
        <w:t xml:space="preserve"> Antibody-Drug Conjugate Patent Claims </w:t>
      </w:r>
      <w:r>
        <w:rPr>
          <w:b w:val="0"/>
          <w:i w:val="0"/>
          <w:smallCaps w:val="0"/>
          <w:strike w:val="0"/>
          <w:sz w:val="20"/>
          <w:u w:val="none"/>
        </w:rPr>
        <w:t>To</w:t>
      </w:r>
      <w:r>
        <w:rPr>
          <w:b w:val="0"/>
          <w:i w:val="0"/>
          <w:smallCaps w:val="0"/>
          <w:strike w:val="0"/>
          <w:sz w:val="20"/>
          <w:u w:val="none"/>
        </w:rPr>
        <w:t xml:space="preserve"> Be Unpatentable.”</w:t>
      </w:r>
      <w:r>
        <w:rPr>
          <w:b w:val="0"/>
          <w:i w:val="0"/>
          <w:smallCaps w:val="0"/>
          <w:strike w:val="0"/>
          <w:sz w:val="20"/>
          <w:u w:val="none"/>
        </w:rPr>
        <w:t xml:space="preserve"> Gale </w:t>
      </w:r>
      <w:r>
        <w:rPr>
          <w:b w:val="0"/>
          <w:i w:val="0"/>
          <w:smallCaps w:val="0"/>
          <w:strike w:val="0"/>
          <w:sz w:val="20"/>
          <w:u w:val="none"/>
        </w:rPr>
        <w:t>Onefile</w:t>
      </w:r>
      <w:r>
        <w:rPr>
          <w:b w:val="0"/>
          <w:i w:val="0"/>
          <w:smallCaps w:val="0"/>
          <w:strike w:val="0"/>
          <w:sz w:val="20"/>
          <w:u w:val="none"/>
        </w:rPr>
        <w:t xml:space="preserve">. 1-30-2024. </w:t>
      </w:r>
      <w:r>
        <w:rPr>
          <w:b w:val="0"/>
          <w:i w:val="0"/>
          <w:smallCaps w:val="0"/>
          <w:strike w:val="0"/>
          <w:sz w:val="20"/>
          <w:u w:val="none"/>
        </w:rPr>
        <w:t>https://www.goodwinlaw.com/en/insights/blogs/2024/01/ptab-issues-final-written-decision-finding-seagen-antibodydrug-conjugate-patent-claims-to-be-unpaten</w:t>
      </w:r>
    </w:p>
    <w:p>
      <w:pPr>
        <w:spacing w:after="60"/>
      </w:pPr>
      <w:r>
        <w:rPr>
          <w:b w:val="0"/>
          <w:i w:val="0"/>
          <w:smallCaps w:val="0"/>
          <w:strike w:val="0"/>
          <w:sz w:val="16"/>
          <w:u w:val="none"/>
        </w:rPr>
        <w:t>On January 16, 2024, the Patent Trial and Appeal Board</w:t>
      </w:r>
      <w:r>
        <w:rPr>
          <w:b w:val="0"/>
          <w:i w:val="0"/>
          <w:smallCaps w:val="0"/>
          <w:strike w:val="0"/>
          <w:sz w:val="20"/>
          <w:u w:val="single"/>
        </w:rPr>
        <w:t xml:space="preserve"> </w:t>
      </w:r>
      <w:r>
        <w:rPr>
          <w:b w:val="0"/>
          <w:i w:val="0"/>
          <w:smallCaps w:val="0"/>
          <w:strike w:val="0"/>
          <w:sz w:val="20"/>
          <w:highlight w:val="cyan"/>
          <w:u w:val="single"/>
        </w:rPr>
        <w:t>(PTAB)</w:t>
      </w:r>
      <w:r>
        <w:rPr>
          <w:b w:val="0"/>
          <w:i w:val="0"/>
          <w:smallCaps w:val="0"/>
          <w:strike w:val="0"/>
          <w:sz w:val="20"/>
          <w:u w:val="single"/>
        </w:rPr>
        <w:t xml:space="preserve"> of the United States Patent and Trademark Office issued a Final Written Decision </w:t>
      </w:r>
      <w:r>
        <w:rPr>
          <w:b w:val="0"/>
          <w:i w:val="0"/>
          <w:smallCaps w:val="0"/>
          <w:strike w:val="0"/>
          <w:sz w:val="20"/>
          <w:highlight w:val="cyan"/>
          <w:u w:val="single"/>
        </w:rPr>
        <w:t>in</w:t>
      </w:r>
      <w:r>
        <w:rPr>
          <w:b w:val="0"/>
          <w:i w:val="0"/>
          <w:smallCaps w:val="0"/>
          <w:strike w:val="0"/>
          <w:sz w:val="20"/>
          <w:u w:val="single"/>
        </w:rPr>
        <w:t xml:space="preserve"> a post-grant review </w:t>
      </w:r>
      <w:r>
        <w:rPr>
          <w:b w:val="0"/>
          <w:i w:val="0"/>
          <w:smallCaps w:val="0"/>
          <w:strike w:val="0"/>
          <w:sz w:val="20"/>
          <w:highlight w:val="cyan"/>
          <w:u w:val="single"/>
        </w:rPr>
        <w:t>(PGR</w:t>
      </w:r>
      <w:r>
        <w:rPr>
          <w:b w:val="0"/>
          <w:i w:val="0"/>
          <w:smallCaps w:val="0"/>
          <w:strike w:val="0"/>
          <w:sz w:val="20"/>
          <w:u w:val="single"/>
        </w:rPr>
        <w:t xml:space="preserve">) </w:t>
      </w:r>
      <w:r>
        <w:rPr>
          <w:b w:val="0"/>
          <w:i w:val="0"/>
          <w:smallCaps w:val="0"/>
          <w:strike w:val="0"/>
          <w:sz w:val="16"/>
          <w:u w:val="none"/>
        </w:rPr>
        <w:t xml:space="preserve">(PGR2021-00030) of claims in US Patent No. 10,808,039 ("the '039 patent") owned by </w:t>
      </w:r>
      <w:r>
        <w:rPr>
          <w:b w:val="0"/>
          <w:i w:val="0"/>
          <w:smallCaps w:val="0"/>
          <w:strike w:val="0"/>
          <w:sz w:val="16"/>
          <w:u w:val="none"/>
        </w:rPr>
        <w:t>Seagen</w:t>
      </w:r>
      <w:r>
        <w:rPr>
          <w:b w:val="0"/>
          <w:i w:val="0"/>
          <w:smallCaps w:val="0"/>
          <w:strike w:val="0"/>
          <w:sz w:val="16"/>
          <w:u w:val="none"/>
        </w:rPr>
        <w:t>. The PGR, filed by Daiichi Sankyo, Inc. and AstraZeneca Pharmaceuticals, LP, requested review of claims 1-5, 9, and 10 of the '039 patent,</w:t>
      </w:r>
      <w:r>
        <w:rPr>
          <w:b w:val="0"/>
          <w:i w:val="0"/>
          <w:smallCaps w:val="0"/>
          <w:strike w:val="0"/>
          <w:sz w:val="20"/>
          <w:u w:val="single"/>
        </w:rPr>
        <w:t xml:space="preserve"> which are </w:t>
      </w:r>
      <w:r>
        <w:rPr>
          <w:b w:val="0"/>
          <w:i w:val="0"/>
          <w:smallCaps w:val="0"/>
          <w:strike w:val="0"/>
          <w:sz w:val="20"/>
          <w:highlight w:val="cyan"/>
          <w:u w:val="single"/>
        </w:rPr>
        <w:t>directed to</w:t>
      </w:r>
      <w:r>
        <w:rPr>
          <w:b w:val="0"/>
          <w:i w:val="0"/>
          <w:smallCaps w:val="0"/>
          <w:strike w:val="0"/>
          <w:sz w:val="20"/>
          <w:u w:val="single"/>
        </w:rPr>
        <w:t xml:space="preserve"> antibody-drug conjugates </w:t>
      </w:r>
      <w:r>
        <w:rPr>
          <w:b w:val="0"/>
          <w:i w:val="0"/>
          <w:smallCaps w:val="0"/>
          <w:strike w:val="0"/>
          <w:sz w:val="20"/>
          <w:highlight w:val="cyan"/>
          <w:u w:val="single"/>
        </w:rPr>
        <w:t>(ADC)</w:t>
      </w:r>
      <w:r>
        <w:rPr>
          <w:b w:val="0"/>
          <w:i w:val="0"/>
          <w:smallCaps w:val="0"/>
          <w:strike w:val="0"/>
          <w:sz w:val="20"/>
          <w:u w:val="single"/>
        </w:rPr>
        <w:t xml:space="preserve"> capable of intracellular cleava</w:t>
      </w:r>
      <w:r>
        <w:rPr>
          <w:b w:val="0"/>
          <w:i w:val="0"/>
          <w:smallCaps w:val="0"/>
          <w:strike w:val="0"/>
          <w:sz w:val="20"/>
          <w:u w:val="single"/>
        </w:rPr>
        <w:t xml:space="preserve">ge. The '039 </w:t>
      </w:r>
      <w:r>
        <w:rPr>
          <w:b w:val="0"/>
          <w:i w:val="0"/>
          <w:smallCaps w:val="0"/>
          <w:strike w:val="0"/>
          <w:sz w:val="20"/>
          <w:highlight w:val="cyan"/>
          <w:u w:val="single"/>
        </w:rPr>
        <w:t>patent is</w:t>
      </w:r>
      <w:r>
        <w:rPr>
          <w:b w:val="0"/>
          <w:i w:val="0"/>
          <w:smallCaps w:val="0"/>
          <w:strike w:val="0"/>
          <w:sz w:val="20"/>
          <w:u w:val="single"/>
        </w:rPr>
        <w:t xml:space="preserve"> at </w:t>
      </w:r>
      <w:r>
        <w:rPr>
          <w:b w:val="0"/>
          <w:i w:val="0"/>
          <w:smallCaps w:val="0"/>
          <w:strike w:val="0"/>
          <w:sz w:val="20"/>
          <w:highlight w:val="cyan"/>
          <w:u w:val="single"/>
        </w:rPr>
        <w:t>issue in</w:t>
      </w:r>
      <w:r>
        <w:rPr>
          <w:b w:val="0"/>
          <w:i w:val="0"/>
          <w:smallCaps w:val="0"/>
          <w:strike w:val="0"/>
          <w:sz w:val="20"/>
          <w:u w:val="single"/>
        </w:rPr>
        <w:t xml:space="preserve"> a patent </w:t>
      </w:r>
      <w:r>
        <w:rPr>
          <w:b w:val="0"/>
          <w:i w:val="0"/>
          <w:smallCaps w:val="0"/>
          <w:strike w:val="0"/>
          <w:sz w:val="20"/>
          <w:highlight w:val="cyan"/>
          <w:u w:val="single"/>
        </w:rPr>
        <w:t>infringement</w:t>
      </w:r>
      <w:r>
        <w:rPr>
          <w:b w:val="0"/>
          <w:i w:val="0"/>
          <w:smallCaps w:val="0"/>
          <w:strike w:val="0"/>
          <w:sz w:val="20"/>
          <w:highlight w:val="cyan"/>
          <w:u w:val="single"/>
        </w:rPr>
        <w:t xml:space="preserve"> lawsuit</w:t>
      </w:r>
      <w:r>
        <w:rPr>
          <w:b w:val="0"/>
          <w:i w:val="0"/>
          <w:smallCaps w:val="0"/>
          <w:strike w:val="0"/>
          <w:sz w:val="20"/>
          <w:u w:val="single"/>
        </w:rPr>
        <w:t xml:space="preserve"> brought by </w:t>
      </w:r>
      <w:r>
        <w:rPr>
          <w:b w:val="0"/>
          <w:i w:val="0"/>
          <w:smallCaps w:val="0"/>
          <w:strike w:val="0"/>
          <w:sz w:val="20"/>
          <w:u w:val="single"/>
        </w:rPr>
        <w:t>Seagen</w:t>
      </w:r>
      <w:r>
        <w:rPr>
          <w:b w:val="0"/>
          <w:i w:val="0"/>
          <w:smallCaps w:val="0"/>
          <w:strike w:val="0"/>
          <w:sz w:val="20"/>
          <w:u w:val="single"/>
        </w:rPr>
        <w:t xml:space="preserve"> against Daiichi Sankyo over Daiichi's FDA-approved ADC cancer therapy ENHERTU®. </w:t>
      </w:r>
      <w:r>
        <w:rPr>
          <w:b w:val="0"/>
          <w:i w:val="0"/>
          <w:smallCaps w:val="0"/>
          <w:strike w:val="0"/>
          <w:sz w:val="16"/>
          <w:u w:val="none"/>
        </w:rPr>
        <w:t xml:space="preserve">Previously, a federal jury </w:t>
      </w:r>
      <w:r>
        <w:rPr>
          <w:b w:val="0"/>
          <w:i w:val="0"/>
          <w:smallCaps w:val="0"/>
          <w:strike w:val="0"/>
          <w:sz w:val="16"/>
          <w:u w:val="none"/>
        </w:rPr>
        <w:t>has found</w:t>
      </w:r>
      <w:r>
        <w:rPr>
          <w:b w:val="0"/>
          <w:i w:val="0"/>
          <w:smallCaps w:val="0"/>
          <w:strike w:val="0"/>
          <w:sz w:val="16"/>
          <w:u w:val="none"/>
        </w:rPr>
        <w:t xml:space="preserve"> that ENHERTU infringed the '039 patent and awarded $41.8 million in royalty revenue to </w:t>
      </w:r>
      <w:r>
        <w:rPr>
          <w:b w:val="0"/>
          <w:i w:val="0"/>
          <w:smallCaps w:val="0"/>
          <w:strike w:val="0"/>
          <w:sz w:val="16"/>
          <w:u w:val="none"/>
        </w:rPr>
        <w:t>Seagen</w:t>
      </w:r>
      <w:r>
        <w:rPr>
          <w:b w:val="0"/>
          <w:i w:val="0"/>
          <w:smallCaps w:val="0"/>
          <w:strike w:val="0"/>
          <w:sz w:val="16"/>
          <w:u w:val="none"/>
        </w:rPr>
        <w:t>.</w:t>
      </w:r>
    </w:p>
    <w:p>
      <w:pPr>
        <w:spacing w:after="60"/>
      </w:pPr>
      <w:r>
        <w:rPr>
          <w:b w:val="0"/>
          <w:i w:val="0"/>
          <w:smallCaps w:val="0"/>
          <w:strike w:val="0"/>
          <w:sz w:val="16"/>
          <w:u w:val="none"/>
        </w:rPr>
        <w:t>Issues raised in the PGR included whether claims 1-5, 9, and 10 of the '039 patent were not patentable for lack of written description and enablement under 35 U.S.C. §112(a), indefiniteness under 35 U.S.C. §112(b), and anticipation under 35 U.S.C. §102.</w:t>
      </w:r>
    </w:p>
    <w:p>
      <w:pPr>
        <w:spacing w:after="60"/>
      </w:pPr>
      <w:r>
        <w:rPr>
          <w:b w:val="0"/>
          <w:i w:val="0"/>
          <w:smallCaps w:val="0"/>
          <w:strike w:val="0"/>
          <w:sz w:val="16"/>
          <w:u w:val="none"/>
        </w:rPr>
        <w:t xml:space="preserve">On the issue of written description, Daiichi argued that the </w:t>
      </w:r>
      <w:r>
        <w:rPr>
          <w:b w:val="0"/>
          <w:i w:val="0"/>
          <w:smallCaps w:val="0"/>
          <w:strike w:val="0"/>
          <w:sz w:val="20"/>
          <w:u w:val="single"/>
        </w:rPr>
        <w:t xml:space="preserve">claims were </w:t>
      </w:r>
      <w:r>
        <w:rPr>
          <w:b w:val="0"/>
          <w:i w:val="0"/>
          <w:smallCaps w:val="0"/>
          <w:strike w:val="0"/>
          <w:sz w:val="20"/>
          <w:highlight w:val="cyan"/>
          <w:u w:val="single"/>
        </w:rPr>
        <w:t xml:space="preserve">not sufficiently supported because </w:t>
      </w:r>
      <w:r>
        <w:rPr>
          <w:b w:val="0"/>
          <w:i w:val="0"/>
          <w:smallCaps w:val="0"/>
          <w:strike w:val="0"/>
          <w:sz w:val="20"/>
          <w:u w:val="single"/>
        </w:rPr>
        <w:t xml:space="preserve">(a) the </w:t>
      </w:r>
      <w:r>
        <w:rPr>
          <w:b w:val="0"/>
          <w:i w:val="0"/>
          <w:smallCaps w:val="0"/>
          <w:strike w:val="0"/>
          <w:sz w:val="20"/>
          <w:highlight w:val="cyan"/>
          <w:u w:val="single"/>
        </w:rPr>
        <w:t>disclosure</w:t>
      </w:r>
      <w:r>
        <w:rPr>
          <w:b w:val="0"/>
          <w:i w:val="0"/>
          <w:smallCaps w:val="0"/>
          <w:strike w:val="0"/>
          <w:sz w:val="20"/>
          <w:highlight w:val="cyan"/>
          <w:u w:val="single"/>
        </w:rPr>
        <w:t xml:space="preserve"> lacked</w:t>
      </w:r>
      <w:r>
        <w:rPr>
          <w:b w:val="0"/>
          <w:i w:val="0"/>
          <w:smallCaps w:val="0"/>
          <w:strike w:val="0"/>
          <w:sz w:val="20"/>
          <w:u w:val="single"/>
        </w:rPr>
        <w:t xml:space="preserve"> descriptive </w:t>
      </w:r>
      <w:r>
        <w:rPr>
          <w:b w:val="0"/>
          <w:i w:val="0"/>
          <w:smallCaps w:val="0"/>
          <w:strike w:val="0"/>
          <w:sz w:val="20"/>
          <w:highlight w:val="cyan"/>
          <w:u w:val="single"/>
        </w:rPr>
        <w:t>support</w:t>
      </w:r>
      <w:r>
        <w:rPr>
          <w:b w:val="0"/>
          <w:i w:val="0"/>
          <w:smallCaps w:val="0"/>
          <w:strike w:val="0"/>
          <w:sz w:val="20"/>
          <w:u w:val="single"/>
        </w:rPr>
        <w:t xml:space="preserve"> for the claimed </w:t>
      </w:r>
      <w:r>
        <w:rPr>
          <w:b w:val="0"/>
          <w:i w:val="0"/>
          <w:smallCaps w:val="0"/>
          <w:strike w:val="0"/>
          <w:sz w:val="20"/>
          <w:u w:val="single"/>
        </w:rPr>
        <w:t>gly</w:t>
      </w:r>
      <w:r>
        <w:rPr>
          <w:b w:val="0"/>
          <w:i w:val="0"/>
          <w:smallCaps w:val="0"/>
          <w:strike w:val="0"/>
          <w:sz w:val="20"/>
          <w:u w:val="single"/>
        </w:rPr>
        <w:t>/</w:t>
      </w:r>
      <w:r>
        <w:rPr>
          <w:b w:val="0"/>
          <w:i w:val="0"/>
          <w:smallCaps w:val="0"/>
          <w:strike w:val="0"/>
          <w:sz w:val="20"/>
          <w:u w:val="single"/>
        </w:rPr>
        <w:t>phe</w:t>
      </w:r>
      <w:r>
        <w:rPr>
          <w:b w:val="0"/>
          <w:i w:val="0"/>
          <w:smallCaps w:val="0"/>
          <w:strike w:val="0"/>
          <w:sz w:val="20"/>
          <w:u w:val="single"/>
        </w:rPr>
        <w:t xml:space="preserve"> tetrapeptide component (Ww) of the ADC, and (b) the disclosure did not describe a representative number of species for the genus of "drug moiety" </w:t>
      </w:r>
      <w:r>
        <w:rPr>
          <w:b w:val="0"/>
          <w:i w:val="0"/>
          <w:smallCaps w:val="0"/>
          <w:strike w:val="0"/>
          <w:sz w:val="20"/>
          <w:highlight w:val="cyan"/>
          <w:u w:val="single"/>
        </w:rPr>
        <w:t>nor</w:t>
      </w:r>
      <w:r>
        <w:rPr>
          <w:b w:val="0"/>
          <w:i w:val="0"/>
          <w:smallCaps w:val="0"/>
          <w:strike w:val="0"/>
          <w:sz w:val="20"/>
          <w:u w:val="single"/>
        </w:rPr>
        <w:t xml:space="preserve"> did the disclosure </w:t>
      </w:r>
      <w:r>
        <w:rPr>
          <w:b w:val="0"/>
          <w:i w:val="0"/>
          <w:smallCaps w:val="0"/>
          <w:strike w:val="0"/>
          <w:sz w:val="20"/>
          <w:highlight w:val="cyan"/>
          <w:u w:val="single"/>
        </w:rPr>
        <w:t>demonstrat</w:t>
      </w:r>
      <w:r>
        <w:rPr>
          <w:b w:val="0"/>
          <w:i w:val="0"/>
          <w:smallCaps w:val="0"/>
          <w:strike w:val="0"/>
          <w:sz w:val="20"/>
          <w:highlight w:val="cyan"/>
          <w:u w:val="single"/>
        </w:rPr>
        <w:t>e co</w:t>
      </w:r>
      <w:r>
        <w:rPr>
          <w:b w:val="0"/>
          <w:i w:val="0"/>
          <w:smallCaps w:val="0"/>
          <w:strike w:val="0"/>
          <w:sz w:val="20"/>
          <w:highlight w:val="cyan"/>
          <w:u w:val="single"/>
        </w:rPr>
        <w:t>mmon</w:t>
      </w:r>
      <w:r>
        <w:rPr>
          <w:b w:val="0"/>
          <w:i w:val="0"/>
          <w:smallCaps w:val="0"/>
          <w:strike w:val="0"/>
          <w:sz w:val="20"/>
          <w:u w:val="single"/>
        </w:rPr>
        <w:t xml:space="preserve"> structural </w:t>
      </w:r>
      <w:r>
        <w:rPr>
          <w:b w:val="0"/>
          <w:i w:val="0"/>
          <w:smallCaps w:val="0"/>
          <w:strike w:val="0"/>
          <w:sz w:val="20"/>
          <w:highlight w:val="cyan"/>
          <w:u w:val="single"/>
        </w:rPr>
        <w:t>featu</w:t>
      </w:r>
      <w:r>
        <w:rPr>
          <w:b w:val="0"/>
          <w:i w:val="0"/>
          <w:smallCaps w:val="0"/>
          <w:strike w:val="0"/>
          <w:sz w:val="20"/>
          <w:highlight w:val="cyan"/>
          <w:u w:val="single"/>
        </w:rPr>
        <w:t>res for</w:t>
      </w:r>
      <w:r>
        <w:rPr>
          <w:b w:val="0"/>
          <w:i w:val="0"/>
          <w:smallCaps w:val="0"/>
          <w:strike w:val="0"/>
          <w:sz w:val="20"/>
          <w:u w:val="single"/>
        </w:rPr>
        <w:t xml:space="preserve"> the </w:t>
      </w:r>
      <w:r>
        <w:rPr>
          <w:b w:val="0"/>
          <w:i w:val="0"/>
          <w:smallCaps w:val="0"/>
          <w:strike w:val="0"/>
          <w:sz w:val="20"/>
          <w:highlight w:val="cyan"/>
          <w:u w:val="single"/>
        </w:rPr>
        <w:t>"drug</w:t>
      </w:r>
      <w:r>
        <w:rPr>
          <w:b w:val="0"/>
          <w:i w:val="0"/>
          <w:smallCaps w:val="0"/>
          <w:strike w:val="0"/>
          <w:sz w:val="20"/>
          <w:u w:val="single"/>
        </w:rPr>
        <w:t xml:space="preserve"> moiety" </w:t>
      </w:r>
      <w:r>
        <w:rPr>
          <w:b w:val="0"/>
          <w:i w:val="0"/>
          <w:smallCaps w:val="0"/>
          <w:strike w:val="0"/>
          <w:sz w:val="20"/>
          <w:highlight w:val="cyan"/>
          <w:u w:val="single"/>
        </w:rPr>
        <w:t>component.</w:t>
      </w:r>
    </w:p>
    <w:p>
      <w:pPr>
        <w:spacing w:after="60"/>
      </w:pPr>
      <w:r>
        <w:rPr>
          <w:b w:val="0"/>
          <w:i w:val="0"/>
          <w:smallCaps w:val="0"/>
          <w:strike w:val="0"/>
          <w:sz w:val="16"/>
          <w:u w:val="none"/>
        </w:rPr>
        <w:t>On enablement, Daiichi argued that the '039 patent does not enable the full scope of the claimed ADCs. Specifically, it noted that "[c]</w:t>
      </w:r>
      <w:r>
        <w:rPr>
          <w:b w:val="0"/>
          <w:i w:val="0"/>
          <w:smallCaps w:val="0"/>
          <w:strike w:val="0"/>
          <w:sz w:val="16"/>
          <w:u w:val="none"/>
        </w:rPr>
        <w:t>omplex</w:t>
      </w:r>
      <w:r>
        <w:rPr>
          <w:b w:val="0"/>
          <w:i w:val="0"/>
          <w:smallCaps w:val="0"/>
          <w:strike w:val="0"/>
          <w:sz w:val="16"/>
          <w:u w:val="none"/>
        </w:rPr>
        <w:t xml:space="preserve"> chemical interactions among ADC components affect its structure and properties," and that "[w]</w:t>
      </w:r>
      <w:r>
        <w:rPr>
          <w:b w:val="0"/>
          <w:i w:val="0"/>
          <w:smallCaps w:val="0"/>
          <w:strike w:val="0"/>
          <w:sz w:val="16"/>
          <w:u w:val="none"/>
        </w:rPr>
        <w:t>hile</w:t>
      </w:r>
      <w:r>
        <w:rPr>
          <w:b w:val="0"/>
          <w:i w:val="0"/>
          <w:smallCaps w:val="0"/>
          <w:strike w:val="0"/>
          <w:sz w:val="16"/>
          <w:u w:val="none"/>
        </w:rPr>
        <w:t xml:space="preserve"> the claim does limit one aspect of the linker ... the structural limitations of the claim still encompass an astronomical number of structurally and functionally disparate compounds."</w:t>
      </w:r>
    </w:p>
    <w:p>
      <w:pPr>
        <w:spacing w:after="60"/>
      </w:pPr>
      <w:r>
        <w:rPr>
          <w:b w:val="0"/>
          <w:i w:val="0"/>
          <w:smallCaps w:val="0"/>
          <w:strike w:val="0"/>
          <w:sz w:val="20"/>
          <w:u w:val="single"/>
        </w:rPr>
        <w:t xml:space="preserve">In the Final Written Decision, the </w:t>
      </w:r>
      <w:r>
        <w:rPr>
          <w:b w:val="0"/>
          <w:i w:val="0"/>
          <w:smallCaps w:val="0"/>
          <w:strike w:val="0"/>
          <w:sz w:val="20"/>
          <w:highlight w:val="cyan"/>
          <w:u w:val="single"/>
        </w:rPr>
        <w:t>PTAB held</w:t>
      </w:r>
      <w:r>
        <w:rPr>
          <w:b w:val="0"/>
          <w:i w:val="0"/>
          <w:smallCaps w:val="0"/>
          <w:strike w:val="0"/>
          <w:sz w:val="20"/>
          <w:u w:val="single"/>
        </w:rPr>
        <w:t xml:space="preserve"> that </w:t>
      </w:r>
      <w:r>
        <w:rPr>
          <w:b w:val="0"/>
          <w:i w:val="0"/>
          <w:smallCaps w:val="0"/>
          <w:strike w:val="0"/>
          <w:sz w:val="20"/>
          <w:highlight w:val="cyan"/>
          <w:u w:val="single"/>
        </w:rPr>
        <w:t>claims</w:t>
      </w:r>
      <w:r>
        <w:rPr>
          <w:b w:val="0"/>
          <w:i w:val="0"/>
          <w:smallCaps w:val="0"/>
          <w:strike w:val="0"/>
          <w:sz w:val="20"/>
          <w:u w:val="single"/>
        </w:rPr>
        <w:t xml:space="preserve"> 1-5, 9, and 10 are </w:t>
      </w:r>
      <w:r>
        <w:rPr>
          <w:b w:val="0"/>
          <w:i w:val="0"/>
          <w:smallCaps w:val="0"/>
          <w:strike w:val="0"/>
          <w:sz w:val="20"/>
          <w:highlight w:val="cyan"/>
          <w:u w:val="single"/>
        </w:rPr>
        <w:t>unpatentable</w:t>
      </w:r>
      <w:r>
        <w:rPr>
          <w:b w:val="0"/>
          <w:i w:val="0"/>
          <w:smallCaps w:val="0"/>
          <w:strike w:val="0"/>
          <w:sz w:val="20"/>
          <w:u w:val="single"/>
        </w:rPr>
        <w:t xml:space="preserve"> for failing </w:t>
      </w:r>
      <w:r>
        <w:rPr>
          <w:b w:val="0"/>
          <w:i w:val="0"/>
          <w:smallCaps w:val="0"/>
          <w:strike w:val="0"/>
          <w:sz w:val="20"/>
          <w:highlight w:val="cyan"/>
          <w:u w:val="single"/>
        </w:rPr>
        <w:t>to comply</w:t>
      </w:r>
      <w:r>
        <w:rPr>
          <w:b w:val="0"/>
          <w:i w:val="0"/>
          <w:smallCaps w:val="0"/>
          <w:strike w:val="0"/>
          <w:sz w:val="20"/>
          <w:u w:val="single"/>
        </w:rPr>
        <w:t xml:space="preserve"> with the written description and enablement requirements </w:t>
      </w:r>
      <w:r>
        <w:rPr>
          <w:b w:val="0"/>
          <w:i w:val="0"/>
          <w:smallCaps w:val="0"/>
          <w:strike w:val="0"/>
          <w:sz w:val="20"/>
          <w:highlight w:val="cyan"/>
          <w:u w:val="single"/>
        </w:rPr>
        <w:t>under Section 112(a).</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