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Biotech patents </w:t>
      </w:r>
      <w:r>
        <w:rPr>
          <w:b/>
          <w:i w:val="0"/>
          <w:smallCaps w:val="0"/>
          <w:strike w:val="0"/>
          <w:sz w:val="24"/>
          <w:u w:val="none"/>
        </w:rPr>
        <w:t>don’t</w:t>
      </w:r>
      <w:r>
        <w:rPr>
          <w:b/>
          <w:i w:val="0"/>
          <w:smallCaps w:val="0"/>
          <w:strike w:val="0"/>
          <w:sz w:val="24"/>
          <w:u w:val="none"/>
        </w:rPr>
        <w:t xml:space="preserve"> </w:t>
      </w:r>
      <w:r>
        <w:rPr>
          <w:b/>
          <w:i w:val="0"/>
          <w:smallCaps w:val="0"/>
          <w:strike w:val="0"/>
          <w:sz w:val="24"/>
          <w:u w:val="none"/>
        </w:rPr>
        <w:t>receive</w:t>
      </w:r>
      <w:r>
        <w:rPr>
          <w:b/>
          <w:i w:val="0"/>
          <w:smallCaps w:val="0"/>
          <w:strike w:val="0"/>
          <w:sz w:val="24"/>
          <w:u w:val="none"/>
        </w:rPr>
        <w:t xml:space="preserve"> protection---PTAB</w:t>
      </w:r>
      <w:r>
        <w:rPr>
          <w:b/>
          <w:i w:val="0"/>
          <w:smallCaps w:val="0"/>
          <w:strike w:val="0"/>
          <w:sz w:val="24"/>
          <w:u w:val="none"/>
        </w:rPr>
        <w:t>’</w:t>
      </w:r>
      <w:r>
        <w:rPr>
          <w:b/>
          <w:i w:val="0"/>
          <w:smallCaps w:val="0"/>
          <w:strike w:val="0"/>
          <w:sz w:val="24"/>
          <w:u w:val="none"/>
        </w:rPr>
        <w:t xml:space="preserve">s broad definition does not encompass any </w:t>
      </w:r>
    </w:p>
    <w:p>
      <w:pPr>
        <w:spacing w:after="80"/>
      </w:pPr>
      <w:r>
        <w:rPr>
          <w:b w:val="0"/>
          <w:i w:val="0"/>
          <w:smallCaps w:val="0"/>
          <w:strike w:val="0"/>
          <w:sz w:val="20"/>
          <w:u w:val="none"/>
        </w:rPr>
        <w:t>N</w:t>
      </w:r>
      <w:r>
        <w:rPr>
          <w:b w:val="0"/>
          <w:i w:val="0"/>
          <w:smallCaps w:val="0"/>
          <w:strike w:val="0"/>
          <w:sz w:val="20"/>
          <w:u w:val="none"/>
        </w:rPr>
        <w:t xml:space="preserve">ora </w:t>
      </w:r>
      <w:r>
        <w:rPr>
          <w:b/>
          <w:i w:val="0"/>
          <w:smallCaps w:val="0"/>
          <w:strike w:val="0"/>
          <w:sz w:val="24"/>
          <w:u w:val="none"/>
        </w:rPr>
        <w:t>Mc</w:t>
      </w:r>
      <w:r>
        <w:rPr>
          <w:b/>
          <w:i w:val="0"/>
          <w:smallCaps w:val="0"/>
          <w:strike w:val="0"/>
          <w:sz w:val="24"/>
          <w:u w:val="none"/>
        </w:rPr>
        <w:t>Guffey 20</w:t>
      </w:r>
      <w:r>
        <w:rPr>
          <w:b w:val="0"/>
          <w:i w:val="0"/>
          <w:smallCaps w:val="0"/>
          <w:strike w:val="0"/>
          <w:sz w:val="20"/>
          <w:u w:val="none"/>
        </w:rPr>
        <w:t xml:space="preserve">. </w:t>
      </w:r>
      <w:r>
        <w:rPr>
          <w:b w:val="0"/>
          <w:i w:val="0"/>
          <w:smallCaps w:val="0"/>
          <w:strike w:val="0"/>
          <w:sz w:val="20"/>
          <w:u w:val="none"/>
        </w:rPr>
        <w:t>J.D. Candidate, Texas A&amp;M University School of Law, May 2020</w:t>
      </w:r>
      <w:r>
        <w:rPr>
          <w:b w:val="0"/>
          <w:i w:val="0"/>
          <w:smallCaps w:val="0"/>
          <w:strike w:val="0"/>
          <w:sz w:val="20"/>
          <w:u w:val="none"/>
        </w:rPr>
        <w:t xml:space="preserve">. </w:t>
      </w:r>
      <w:r>
        <w:rPr>
          <w:b w:val="0"/>
          <w:i w:val="0"/>
          <w:smallCaps w:val="0"/>
          <w:strike w:val="0"/>
          <w:sz w:val="20"/>
          <w:u w:val="none"/>
        </w:rPr>
        <w:t>“PRAXAIR AND THE PTAB's SHADOW OVER</w:t>
      </w:r>
      <w:r>
        <w:rPr>
          <w:b w:val="0"/>
          <w:i w:val="0"/>
          <w:smallCaps w:val="0"/>
          <w:strike w:val="0"/>
          <w:sz w:val="20"/>
          <w:u w:val="none"/>
        </w:rPr>
        <w:t xml:space="preserve"> </w:t>
      </w:r>
      <w:r>
        <w:rPr>
          <w:b w:val="0"/>
          <w:i w:val="0"/>
          <w:smallCaps w:val="0"/>
          <w:strike w:val="0"/>
          <w:sz w:val="20"/>
          <w:u w:val="none"/>
        </w:rPr>
        <w:t>BIOTECHNOLOGY PATENTS</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UC Davis Business Law Journal</w:t>
      </w:r>
      <w:r>
        <w:rPr>
          <w:b w:val="0"/>
          <w:i w:val="0"/>
          <w:smallCaps w:val="0"/>
          <w:strike w:val="0"/>
          <w:sz w:val="20"/>
          <w:u w:val="none"/>
        </w:rPr>
        <w:t xml:space="preserve">. 2020. </w:t>
      </w:r>
      <w:r>
        <w:rPr>
          <w:b w:val="0"/>
          <w:i w:val="0"/>
          <w:smallCaps w:val="0"/>
          <w:strike w:val="0"/>
          <w:sz w:val="20"/>
          <w:u w:val="none"/>
        </w:rPr>
        <w:t>https://scholarship.law.tamu.edu/student-scholarship/6/</w:t>
      </w:r>
      <w:r>
        <w:rPr>
          <w:b w:val="0"/>
          <w:i w:val="0"/>
          <w:smallCaps w:val="0"/>
          <w:strike w:val="0"/>
          <w:sz w:val="20"/>
          <w:u w:val="none"/>
        </w:rPr>
        <w:t xml:space="preserve"> //</w:t>
      </w:r>
    </w:p>
    <w:p>
      <w:pPr>
        <w:spacing w:after="60"/>
      </w:pPr>
      <w:r>
        <w:rPr>
          <w:b w:val="0"/>
          <w:i w:val="0"/>
          <w:smallCaps w:val="0"/>
          <w:strike w:val="0"/>
          <w:sz w:val="16"/>
          <w:u w:val="none"/>
        </w:rPr>
        <w:t xml:space="preserve">Within the CBMR, the </w:t>
      </w:r>
      <w:r>
        <w:rPr>
          <w:b w:val="0"/>
          <w:i w:val="0"/>
          <w:smallCaps w:val="0"/>
          <w:strike w:val="0"/>
          <w:sz w:val="20"/>
          <w:highlight w:val="cyan"/>
          <w:u w:val="single"/>
        </w:rPr>
        <w:t>PTAB</w:t>
      </w:r>
      <w:r>
        <w:rPr>
          <w:b w:val="0"/>
          <w:i w:val="0"/>
          <w:smallCaps w:val="0"/>
          <w:strike w:val="0"/>
          <w:sz w:val="20"/>
          <w:u w:val="single"/>
        </w:rPr>
        <w:t xml:space="preserve"> has been </w:t>
      </w:r>
      <w:r>
        <w:rPr>
          <w:b w:val="0"/>
          <w:i w:val="0"/>
          <w:smallCaps w:val="0"/>
          <w:strike w:val="0"/>
          <w:sz w:val="20"/>
          <w:highlight w:val="cyan"/>
          <w:u w:val="single"/>
        </w:rPr>
        <w:t>known to be</w:t>
      </w:r>
      <w:r>
        <w:rPr>
          <w:b w:val="0"/>
          <w:i w:val="0"/>
          <w:smallCaps w:val="0"/>
          <w:strike w:val="0"/>
          <w:sz w:val="20"/>
          <w:u w:val="single"/>
        </w:rPr>
        <w:t xml:space="preserve"> very </w:t>
      </w:r>
      <w:r>
        <w:rPr>
          <w:b w:val="0"/>
          <w:i w:val="0"/>
          <w:smallCaps w:val="0"/>
          <w:strike w:val="0"/>
          <w:sz w:val="20"/>
          <w:highlight w:val="cyan"/>
          <w:u w:val="single"/>
        </w:rPr>
        <w:t>"aggressive</w:t>
      </w:r>
      <w:r>
        <w:rPr>
          <w:b w:val="0"/>
          <w:i w:val="0"/>
          <w:smallCaps w:val="0"/>
          <w:strike w:val="0"/>
          <w:sz w:val="20"/>
          <w:u w:val="single"/>
        </w:rPr>
        <w:t xml:space="preserve">, particularly with respect </w:t>
      </w:r>
      <w:r>
        <w:rPr>
          <w:b w:val="0"/>
          <w:i w:val="0"/>
          <w:smallCaps w:val="0"/>
          <w:strike w:val="0"/>
          <w:sz w:val="20"/>
          <w:highlight w:val="cyan"/>
          <w:u w:val="single"/>
        </w:rPr>
        <w:t>to</w:t>
      </w:r>
      <w:r>
        <w:rPr>
          <w:b w:val="0"/>
          <w:i w:val="0"/>
          <w:smallCaps w:val="0"/>
          <w:strike w:val="0"/>
          <w:sz w:val="20"/>
          <w:u w:val="single"/>
        </w:rPr>
        <w:t xml:space="preserve"> its </w:t>
      </w:r>
      <w:r>
        <w:rPr>
          <w:b w:val="0"/>
          <w:i w:val="0"/>
          <w:smallCaps w:val="0"/>
          <w:strike w:val="0"/>
          <w:sz w:val="20"/>
          <w:highlight w:val="cyan"/>
          <w:u w:val="single"/>
        </w:rPr>
        <w:t>interp</w:t>
      </w:r>
      <w:r>
        <w:rPr>
          <w:b w:val="0"/>
          <w:i w:val="0"/>
          <w:smallCaps w:val="0"/>
          <w:strike w:val="0"/>
          <w:sz w:val="20"/>
          <w:u w:val="single"/>
        </w:rPr>
        <w:t xml:space="preserve">retation </w:t>
      </w:r>
      <w:r>
        <w:rPr>
          <w:b w:val="0"/>
          <w:i w:val="0"/>
          <w:smallCaps w:val="0"/>
          <w:strike w:val="0"/>
          <w:sz w:val="20"/>
          <w:highlight w:val="cyan"/>
          <w:u w:val="single"/>
        </w:rPr>
        <w:t>of section 101</w:t>
      </w:r>
      <w:r>
        <w:rPr>
          <w:b w:val="0"/>
          <w:i w:val="0"/>
          <w:smallCaps w:val="0"/>
          <w:strike w:val="0"/>
          <w:sz w:val="20"/>
          <w:u w:val="single"/>
        </w:rPr>
        <w:t>."'</w:t>
      </w:r>
      <w:r>
        <w:rPr>
          <w:b w:val="0"/>
          <w:i w:val="0"/>
          <w:smallCaps w:val="0"/>
          <w:strike w:val="0"/>
          <w:sz w:val="16"/>
          <w:u w:val="none"/>
        </w:rPr>
        <w:t>12 This is likely because the USPTO has a large amount of discretion in determining what patents are subject-matter eligible for a CBMR.113 Unlike IPR or PGR, "a person may not file a petition for a [CBMR] . . . unless the person or the person's real party in interest or privy has been sued for infringement of the patent or has been charged with infringement under that patent."' 14 Another key distinction is that CBMRs only apply to covered business method patents, 5 which the AIA defines in § 18(d)(1): The term 'covered business method patent' means a patent that claims a method or corresponding apparatus for performing data processing or other operations used in the practice, administration, or management of a financial product or service, except that the term does not include patents for technological inventions. 16</w:t>
      </w:r>
    </w:p>
    <w:p>
      <w:pPr>
        <w:spacing w:after="60"/>
      </w:pPr>
      <w:r>
        <w:rPr>
          <w:b w:val="0"/>
          <w:i w:val="0"/>
          <w:smallCaps w:val="0"/>
          <w:strike w:val="0"/>
          <w:sz w:val="16"/>
          <w:u w:val="none"/>
        </w:rPr>
        <w:t>In addition to this broad definition,</w:t>
      </w:r>
      <w:r>
        <w:rPr>
          <w:b w:val="0"/>
          <w:i w:val="0"/>
          <w:smallCaps w:val="0"/>
          <w:strike w:val="0"/>
          <w:sz w:val="20"/>
          <w:u w:val="single"/>
        </w:rPr>
        <w:t xml:space="preserve"> the AIA directs the </w:t>
      </w:r>
      <w:r>
        <w:rPr>
          <w:b w:val="0"/>
          <w:i w:val="0"/>
          <w:smallCaps w:val="0"/>
          <w:strike w:val="0"/>
          <w:sz w:val="20"/>
          <w:highlight w:val="cyan"/>
          <w:u w:val="single"/>
        </w:rPr>
        <w:t>USPTO</w:t>
      </w:r>
      <w:r>
        <w:rPr>
          <w:b w:val="0"/>
          <w:i w:val="0"/>
          <w:smallCaps w:val="0"/>
          <w:strike w:val="0"/>
          <w:sz w:val="20"/>
          <w:u w:val="single"/>
        </w:rPr>
        <w:t xml:space="preserve"> to further </w:t>
      </w:r>
      <w:r>
        <w:rPr>
          <w:b w:val="0"/>
          <w:i w:val="0"/>
          <w:smallCaps w:val="0"/>
          <w:strike w:val="0"/>
          <w:sz w:val="20"/>
          <w:highlight w:val="cyan"/>
          <w:u w:val="single"/>
        </w:rPr>
        <w:t>define "tech</w:t>
      </w:r>
      <w:r>
        <w:rPr>
          <w:b w:val="0"/>
          <w:i w:val="0"/>
          <w:smallCaps w:val="0"/>
          <w:strike w:val="0"/>
          <w:sz w:val="20"/>
          <w:u w:val="single"/>
        </w:rPr>
        <w:t xml:space="preserve">nological </w:t>
      </w:r>
      <w:r>
        <w:rPr>
          <w:b w:val="0"/>
          <w:i w:val="0"/>
          <w:smallCaps w:val="0"/>
          <w:strike w:val="0"/>
          <w:sz w:val="20"/>
          <w:highlight w:val="cyan"/>
          <w:u w:val="single"/>
        </w:rPr>
        <w:t>invention.</w:t>
      </w:r>
      <w:r>
        <w:rPr>
          <w:b w:val="0"/>
          <w:i w:val="0"/>
          <w:smallCaps w:val="0"/>
          <w:strike w:val="0"/>
          <w:sz w:val="20"/>
          <w:u w:val="single"/>
        </w:rPr>
        <w:t>"</w:t>
      </w:r>
      <w:r>
        <w:rPr>
          <w:b w:val="0"/>
          <w:i w:val="0"/>
          <w:smallCaps w:val="0"/>
          <w:strike w:val="0"/>
          <w:sz w:val="16"/>
          <w:u w:val="none"/>
        </w:rPr>
        <w:t xml:space="preserve"> 117 The USPTO decides</w:t>
      </w:r>
      <w:r>
        <w:rPr>
          <w:b w:val="0"/>
          <w:i w:val="0"/>
          <w:smallCaps w:val="0"/>
          <w:strike w:val="0"/>
          <w:sz w:val="20"/>
          <w:u w:val="single"/>
        </w:rPr>
        <w:t xml:space="preserve"> "whether the claimed subject matter </w:t>
      </w:r>
      <w:r>
        <w:rPr>
          <w:b w:val="0"/>
          <w:i w:val="0"/>
          <w:smallCaps w:val="0"/>
          <w:strike w:val="0"/>
          <w:sz w:val="20"/>
          <w:highlight w:val="cyan"/>
          <w:u w:val="single"/>
        </w:rPr>
        <w:t>as</w:t>
      </w:r>
      <w:r>
        <w:rPr>
          <w:b w:val="0"/>
          <w:i w:val="0"/>
          <w:smallCaps w:val="0"/>
          <w:strike w:val="0"/>
          <w:sz w:val="20"/>
          <w:u w:val="single"/>
        </w:rPr>
        <w:t xml:space="preserve"> a whole recites a technological feature that is </w:t>
      </w:r>
      <w:r>
        <w:rPr>
          <w:b w:val="0"/>
          <w:i w:val="0"/>
          <w:smallCaps w:val="0"/>
          <w:strike w:val="0"/>
          <w:sz w:val="20"/>
          <w:highlight w:val="cyan"/>
          <w:u w:val="single"/>
        </w:rPr>
        <w:t>novel</w:t>
      </w:r>
      <w:r>
        <w:rPr>
          <w:b w:val="0"/>
          <w:i w:val="0"/>
          <w:smallCaps w:val="0"/>
          <w:strike w:val="0"/>
          <w:sz w:val="20"/>
          <w:highlight w:val="cyan"/>
          <w:u w:val="single"/>
        </w:rPr>
        <w:t xml:space="preserve"> and </w:t>
      </w:r>
      <w:r>
        <w:rPr>
          <w:b w:val="0"/>
          <w:i w:val="0"/>
          <w:smallCaps w:val="0"/>
          <w:strike w:val="0"/>
          <w:sz w:val="20"/>
          <w:highlight w:val="cyan"/>
          <w:u w:val="single"/>
        </w:rPr>
        <w:t>unobvious</w:t>
      </w:r>
      <w:r>
        <w:rPr>
          <w:b w:val="0"/>
          <w:i w:val="0"/>
          <w:smallCaps w:val="0"/>
          <w:strike w:val="0"/>
          <w:sz w:val="16"/>
          <w:u w:val="none"/>
        </w:rPr>
        <w:t xml:space="preserve"> over the prior art;</w:t>
      </w:r>
      <w:r>
        <w:rPr>
          <w:b w:val="0"/>
          <w:i w:val="0"/>
          <w:smallCaps w:val="0"/>
          <w:strike w:val="0"/>
          <w:sz w:val="20"/>
          <w:u w:val="single"/>
        </w:rPr>
        <w:t xml:space="preserve"> and solves a technical problem using a technical solution." 1 8 </w:t>
      </w:r>
      <w:r>
        <w:rPr>
          <w:b w:val="0"/>
          <w:i w:val="0"/>
          <w:smallCaps w:val="0"/>
          <w:strike w:val="0"/>
          <w:sz w:val="20"/>
          <w:highlight w:val="cyan"/>
          <w:u w:val="single"/>
        </w:rPr>
        <w:t>This broad definition</w:t>
      </w:r>
      <w:r>
        <w:rPr>
          <w:b w:val="0"/>
          <w:i w:val="0"/>
          <w:smallCaps w:val="0"/>
          <w:strike w:val="0"/>
          <w:sz w:val="20"/>
          <w:u w:val="single"/>
        </w:rPr>
        <w:t xml:space="preserve"> of "technological invention" </w:t>
      </w:r>
      <w:r>
        <w:rPr>
          <w:b w:val="0"/>
          <w:i w:val="0"/>
          <w:smallCaps w:val="0"/>
          <w:strike w:val="0"/>
          <w:sz w:val="20"/>
          <w:highlight w:val="cyan"/>
          <w:u w:val="single"/>
        </w:rPr>
        <w:t>gives</w:t>
      </w:r>
      <w:r>
        <w:rPr>
          <w:b w:val="0"/>
          <w:i w:val="0"/>
          <w:smallCaps w:val="0"/>
          <w:strike w:val="0"/>
          <w:sz w:val="20"/>
          <w:u w:val="single"/>
        </w:rPr>
        <w:t xml:space="preserve"> the USPTO a fair amount of </w:t>
      </w:r>
      <w:r>
        <w:rPr>
          <w:b w:val="0"/>
          <w:i w:val="0"/>
          <w:smallCaps w:val="0"/>
          <w:strike w:val="0"/>
          <w:sz w:val="20"/>
          <w:highlight w:val="cyan"/>
          <w:u w:val="single"/>
        </w:rPr>
        <w:t>discretion</w:t>
      </w:r>
      <w:r>
        <w:rPr>
          <w:b w:val="0"/>
          <w:i w:val="0"/>
          <w:smallCaps w:val="0"/>
          <w:strike w:val="0"/>
          <w:sz w:val="20"/>
          <w:highlight w:val="cyan"/>
          <w:u w:val="single"/>
        </w:rPr>
        <w:t xml:space="preserve"> in</w:t>
      </w:r>
      <w:r>
        <w:rPr>
          <w:b w:val="0"/>
          <w:i w:val="0"/>
          <w:smallCaps w:val="0"/>
          <w:strike w:val="0"/>
          <w:sz w:val="20"/>
          <w:u w:val="single"/>
        </w:rPr>
        <w:t xml:space="preserve"> determining the </w:t>
      </w:r>
      <w:r>
        <w:rPr>
          <w:b w:val="0"/>
          <w:i w:val="0"/>
          <w:smallCaps w:val="0"/>
          <w:strike w:val="0"/>
          <w:sz w:val="20"/>
          <w:highlight w:val="cyan"/>
          <w:u w:val="single"/>
        </w:rPr>
        <w:t>subject matter</w:t>
      </w:r>
      <w:r>
        <w:rPr>
          <w:b w:val="0"/>
          <w:i w:val="0"/>
          <w:smallCaps w:val="0"/>
          <w:strike w:val="0"/>
          <w:sz w:val="20"/>
          <w:u w:val="single"/>
        </w:rPr>
        <w:t xml:space="preserve"> that is eligible</w:t>
      </w:r>
      <w:r>
        <w:rPr>
          <w:b w:val="0"/>
          <w:i w:val="0"/>
          <w:smallCaps w:val="0"/>
          <w:strike w:val="0"/>
          <w:sz w:val="16"/>
          <w:u w:val="none"/>
        </w:rPr>
        <w:t xml:space="preserve"> for instituting a</w:t>
      </w:r>
      <w:r>
        <w:rPr>
          <w:b w:val="0"/>
          <w:i w:val="0"/>
          <w:smallCaps w:val="0"/>
          <w:strike w:val="0"/>
          <w:sz w:val="16"/>
          <w:u w:val="none"/>
        </w:rPr>
        <w:t xml:space="preserve"> </w:t>
      </w:r>
      <w:r>
        <w:rPr>
          <w:b w:val="0"/>
          <w:i w:val="0"/>
          <w:smallCaps w:val="0"/>
          <w:strike w:val="0"/>
          <w:sz w:val="16"/>
          <w:u w:val="none"/>
        </w:rPr>
        <w:t>CMIBR.119 Typically, CBM reviews are limited to patents that are "financial in nature," "incidental to financial activity," or "complementary to financial activity." 120 In the past, a majority of the CBMR petitions challenged claims on subject-matter eligibility. 121</w:t>
      </w:r>
    </w:p>
    <w:p>
      <w:pPr>
        <w:spacing w:after="60"/>
      </w:pPr>
      <w:r>
        <w:rPr>
          <w:b w:val="0"/>
          <w:i w:val="0"/>
          <w:smallCaps w:val="0"/>
          <w:strike w:val="0"/>
          <w:sz w:val="16"/>
          <w:u w:val="none"/>
        </w:rPr>
        <w:t xml:space="preserve">Although most biotechnology uses software in research and development, </w:t>
      </w:r>
      <w:r>
        <w:rPr>
          <w:b w:val="0"/>
          <w:i w:val="0"/>
          <w:smallCaps w:val="0"/>
          <w:strike w:val="0"/>
          <w:sz w:val="20"/>
          <w:u w:val="single"/>
        </w:rPr>
        <w:t xml:space="preserve">the PTAB generally does not institute CBMR petitions challenging biotechnology or medical patents 122 because they are not a "financial product or service."' </w:t>
      </w:r>
      <w:r>
        <w:rPr>
          <w:b w:val="0"/>
          <w:i w:val="0"/>
          <w:smallCaps w:val="0"/>
          <w:strike w:val="0"/>
          <w:sz w:val="16"/>
          <w:u w:val="none"/>
        </w:rPr>
        <w:t xml:space="preserve">123 For example, in </w:t>
      </w:r>
      <w:r>
        <w:rPr>
          <w:b w:val="0"/>
          <w:i w:val="0"/>
          <w:smallCaps w:val="0"/>
          <w:strike w:val="0"/>
          <w:sz w:val="16"/>
          <w:u w:val="none"/>
        </w:rPr>
        <w:t>Amneal</w:t>
      </w:r>
      <w:r>
        <w:rPr>
          <w:b w:val="0"/>
          <w:i w:val="0"/>
          <w:smallCaps w:val="0"/>
          <w:strike w:val="0"/>
          <w:sz w:val="16"/>
          <w:u w:val="none"/>
        </w:rPr>
        <w:t xml:space="preserve"> Pharmaceuticals, LLC v. Jazz Pharmaceuticals, Inc. and Roxane Laboratories, Inc. v. Jazz Pharmaceuticals, Inc., the</w:t>
      </w:r>
      <w:r>
        <w:rPr>
          <w:b w:val="0"/>
          <w:i w:val="0"/>
          <w:smallCaps w:val="0"/>
          <w:strike w:val="0"/>
          <w:sz w:val="20"/>
          <w:u w:val="single"/>
        </w:rPr>
        <w:t xml:space="preserve"> </w:t>
      </w:r>
      <w:r>
        <w:rPr>
          <w:b w:val="0"/>
          <w:i w:val="0"/>
          <w:smallCaps w:val="0"/>
          <w:strike w:val="0"/>
          <w:sz w:val="20"/>
          <w:highlight w:val="cyan"/>
          <w:u w:val="single"/>
        </w:rPr>
        <w:t>PTAB declined to institute a CBMR because</w:t>
      </w:r>
      <w:r>
        <w:rPr>
          <w:b w:val="0"/>
          <w:i w:val="0"/>
          <w:smallCaps w:val="0"/>
          <w:strike w:val="0"/>
          <w:sz w:val="20"/>
          <w:u w:val="single"/>
        </w:rPr>
        <w:t xml:space="preserve"> the </w:t>
      </w:r>
      <w:r>
        <w:rPr>
          <w:b w:val="0"/>
          <w:i w:val="0"/>
          <w:smallCaps w:val="0"/>
          <w:strike w:val="0"/>
          <w:sz w:val="20"/>
          <w:highlight w:val="cyan"/>
          <w:u w:val="single"/>
        </w:rPr>
        <w:t>petitioner failed to show</w:t>
      </w:r>
      <w:r>
        <w:rPr>
          <w:b w:val="0"/>
          <w:i w:val="0"/>
          <w:smallCaps w:val="0"/>
          <w:strike w:val="0"/>
          <w:sz w:val="20"/>
          <w:u w:val="single"/>
        </w:rPr>
        <w:t xml:space="preserve"> that the claim language recited a method involving the </w:t>
      </w:r>
      <w:r>
        <w:rPr>
          <w:b w:val="0"/>
          <w:i w:val="0"/>
          <w:smallCaps w:val="0"/>
          <w:strike w:val="0"/>
          <w:sz w:val="20"/>
          <w:highlight w:val="cyan"/>
          <w:u w:val="single"/>
        </w:rPr>
        <w:t>movement</w:t>
      </w:r>
      <w:r>
        <w:rPr>
          <w:b w:val="0"/>
          <w:i w:val="0"/>
          <w:smallCaps w:val="0"/>
          <w:strike w:val="0"/>
          <w:sz w:val="20"/>
          <w:highlight w:val="cyan"/>
          <w:u w:val="single"/>
        </w:rPr>
        <w:t xml:space="preserve"> of money</w:t>
      </w:r>
      <w:r>
        <w:rPr>
          <w:b w:val="0"/>
          <w:i w:val="0"/>
          <w:smallCaps w:val="0"/>
          <w:strike w:val="0"/>
          <w:sz w:val="20"/>
          <w:u w:val="single"/>
        </w:rPr>
        <w:t xml:space="preserve"> or credit in exchange for a product or service.</w:t>
      </w:r>
      <w:r>
        <w:rPr>
          <w:b w:val="0"/>
          <w:i w:val="0"/>
          <w:smallCaps w:val="0"/>
          <w:strike w:val="0"/>
          <w:sz w:val="16"/>
          <w:u w:val="none"/>
        </w:rPr>
        <w:t xml:space="preserve">124 In </w:t>
      </w:r>
      <w:r>
        <w:rPr>
          <w:b w:val="0"/>
          <w:i w:val="0"/>
          <w:smallCaps w:val="0"/>
          <w:strike w:val="0"/>
          <w:sz w:val="16"/>
          <w:u w:val="none"/>
        </w:rPr>
        <w:t>Amneal</w:t>
      </w:r>
      <w:r>
        <w:rPr>
          <w:b w:val="0"/>
          <w:i w:val="0"/>
          <w:smallCaps w:val="0"/>
          <w:strike w:val="0"/>
          <w:sz w:val="16"/>
          <w:u w:val="none"/>
        </w:rPr>
        <w:t xml:space="preserve"> Pharmaceuticals, the patent related to a "method for controlling access to a sensitive prescription drug prone to potential abuse or diversion, by utilizing a central pharmacy and database to track all prescriptions for the sensitive drug."' 25 In Roxane Laboratories, the patent related to a "method for treating a patient with a sensitive prescription drug and controlling access to the sensitive prescription drug, which is prone to potential abuse, misuse, or diversion, by utilizing a central pharmacy and database to track all prescriptions for the sensitive drug.' 12 6 </w:t>
      </w:r>
      <w:r>
        <w:rPr>
          <w:b w:val="0"/>
          <w:i w:val="0"/>
          <w:smallCaps w:val="0"/>
          <w:strike w:val="0"/>
          <w:sz w:val="20"/>
          <w:u w:val="single"/>
        </w:rPr>
        <w:t xml:space="preserve">Because the </w:t>
      </w:r>
      <w:r>
        <w:rPr>
          <w:b w:val="0"/>
          <w:i w:val="0"/>
          <w:smallCaps w:val="0"/>
          <w:strike w:val="0"/>
          <w:sz w:val="20"/>
          <w:highlight w:val="cyan"/>
          <w:u w:val="single"/>
        </w:rPr>
        <w:t>PTAB</w:t>
      </w:r>
      <w:r>
        <w:rPr>
          <w:b w:val="0"/>
          <w:i w:val="0"/>
          <w:smallCaps w:val="0"/>
          <w:strike w:val="0"/>
          <w:sz w:val="20"/>
          <w:u w:val="single"/>
        </w:rPr>
        <w:t xml:space="preserve"> held that the patents were not subject-matter eligible for a CBMR, it </w:t>
      </w:r>
      <w:r>
        <w:rPr>
          <w:b w:val="0"/>
          <w:i w:val="0"/>
          <w:smallCaps w:val="0"/>
          <w:strike w:val="0"/>
          <w:sz w:val="20"/>
          <w:highlight w:val="cyan"/>
          <w:u w:val="single"/>
        </w:rPr>
        <w:t>could not institute</w:t>
      </w:r>
      <w:r>
        <w:rPr>
          <w:b w:val="0"/>
          <w:i w:val="0"/>
          <w:smallCaps w:val="0"/>
          <w:strike w:val="0"/>
          <w:sz w:val="20"/>
          <w:u w:val="single"/>
        </w:rPr>
        <w:t xml:space="preserve"> the </w:t>
      </w:r>
      <w:r>
        <w:rPr>
          <w:b w:val="0"/>
          <w:i w:val="0"/>
          <w:smallCaps w:val="0"/>
          <w:strike w:val="0"/>
          <w:sz w:val="20"/>
          <w:highlight w:val="cyan"/>
          <w:u w:val="single"/>
        </w:rPr>
        <w:t>proceeding</w:t>
      </w:r>
      <w:r>
        <w:rPr>
          <w:b w:val="0"/>
          <w:i w:val="0"/>
          <w:smallCaps w:val="0"/>
          <w:strike w:val="0"/>
          <w:sz w:val="20"/>
          <w:u w:val="single"/>
        </w:rPr>
        <w:t xml:space="preserve"> to </w:t>
      </w:r>
      <w:r>
        <w:rPr>
          <w:b w:val="0"/>
          <w:i w:val="0"/>
          <w:smallCaps w:val="0"/>
          <w:strike w:val="0"/>
          <w:sz w:val="20"/>
          <w:highlight w:val="cyan"/>
          <w:u w:val="single"/>
        </w:rPr>
        <w:t>determine</w:t>
      </w:r>
      <w:r>
        <w:rPr>
          <w:b w:val="0"/>
          <w:i w:val="0"/>
          <w:smallCaps w:val="0"/>
          <w:strike w:val="0"/>
          <w:sz w:val="20"/>
          <w:u w:val="single"/>
        </w:rPr>
        <w:t xml:space="preserve"> the patents' </w:t>
      </w:r>
      <w:r>
        <w:rPr>
          <w:b w:val="0"/>
          <w:i w:val="0"/>
          <w:smallCaps w:val="0"/>
          <w:strike w:val="0"/>
          <w:sz w:val="20"/>
          <w:highlight w:val="cyan"/>
          <w:u w:val="single"/>
        </w:rPr>
        <w:t>validity.</w:t>
      </w:r>
    </w:p>
    <w:p>
      <w:pPr>
        <w:spacing w:after="60"/>
      </w:pPr>
      <w:r>
        <w:rPr>
          <w:b w:val="0"/>
          <w:i w:val="0"/>
          <w:smallCaps w:val="0"/>
          <w:strike w:val="0"/>
          <w:sz w:val="16"/>
          <w:u w:val="none"/>
        </w:rPr>
        <w:t xml:space="preserve">The PTAB has a fair amount of discretion on the subject-matter eligibility for covered business method patents. However, </w:t>
      </w:r>
      <w:r>
        <w:rPr>
          <w:b w:val="0"/>
          <w:i w:val="0"/>
          <w:smallCaps w:val="0"/>
          <w:strike w:val="0"/>
          <w:sz w:val="16"/>
          <w:u w:val="none"/>
        </w:rPr>
        <w:t>Amneal</w:t>
      </w:r>
      <w:r>
        <w:rPr>
          <w:b w:val="0"/>
          <w:i w:val="0"/>
          <w:smallCaps w:val="0"/>
          <w:strike w:val="0"/>
          <w:sz w:val="16"/>
          <w:u w:val="none"/>
        </w:rPr>
        <w:t xml:space="preserve"> Pharmaceuticals and Roxane Laboratories suggest that the </w:t>
      </w:r>
      <w:r>
        <w:rPr>
          <w:b w:val="0"/>
          <w:i w:val="0"/>
          <w:smallCaps w:val="0"/>
          <w:strike w:val="0"/>
          <w:sz w:val="20"/>
          <w:highlight w:val="cyan"/>
          <w:u w:val="single"/>
        </w:rPr>
        <w:t>PTAB</w:t>
      </w:r>
      <w:r>
        <w:rPr>
          <w:b w:val="0"/>
          <w:i w:val="0"/>
          <w:smallCaps w:val="0"/>
          <w:strike w:val="0"/>
          <w:sz w:val="20"/>
          <w:u w:val="single"/>
        </w:rPr>
        <w:t xml:space="preserve"> has </w:t>
      </w:r>
      <w:r>
        <w:rPr>
          <w:b w:val="0"/>
          <w:i w:val="0"/>
          <w:smallCaps w:val="0"/>
          <w:strike w:val="0"/>
          <w:sz w:val="20"/>
          <w:highlight w:val="cyan"/>
          <w:u w:val="single"/>
        </w:rPr>
        <w:t>not found</w:t>
      </w:r>
      <w:r>
        <w:rPr>
          <w:b w:val="0"/>
          <w:i w:val="0"/>
          <w:smallCaps w:val="0"/>
          <w:strike w:val="0"/>
          <w:sz w:val="20"/>
          <w:u w:val="single"/>
        </w:rPr>
        <w:t xml:space="preserve"> a </w:t>
      </w:r>
      <w:r>
        <w:rPr>
          <w:b w:val="0"/>
          <w:i w:val="0"/>
          <w:smallCaps w:val="0"/>
          <w:strike w:val="0"/>
          <w:sz w:val="20"/>
          <w:highlight w:val="cyan"/>
          <w:u w:val="single"/>
        </w:rPr>
        <w:t xml:space="preserve">way to </w:t>
      </w:r>
      <w:r>
        <w:rPr>
          <w:b w:val="0"/>
          <w:i w:val="0"/>
          <w:smallCaps w:val="0"/>
          <w:strike w:val="0"/>
          <w:sz w:val="20"/>
          <w:highlight w:val="cyan"/>
          <w:u w:val="single"/>
        </w:rPr>
        <w:t>expand</w:t>
      </w:r>
      <w:r>
        <w:rPr>
          <w:b w:val="0"/>
          <w:i w:val="0"/>
          <w:smallCaps w:val="0"/>
          <w:strike w:val="0"/>
          <w:sz w:val="20"/>
          <w:u w:val="single"/>
        </w:rPr>
        <w:t xml:space="preserve"> the </w:t>
      </w:r>
      <w:r>
        <w:rPr>
          <w:b w:val="0"/>
          <w:i w:val="0"/>
          <w:smallCaps w:val="0"/>
          <w:strike w:val="0"/>
          <w:sz w:val="20"/>
          <w:highlight w:val="cyan"/>
          <w:u w:val="single"/>
        </w:rPr>
        <w:t>definition of</w:t>
      </w:r>
      <w:r>
        <w:rPr>
          <w:b w:val="0"/>
          <w:i w:val="0"/>
          <w:smallCaps w:val="0"/>
          <w:strike w:val="0"/>
          <w:sz w:val="20"/>
          <w:u w:val="single"/>
        </w:rPr>
        <w:t xml:space="preserve"> a "</w:t>
      </w:r>
      <w:r>
        <w:rPr>
          <w:b w:val="0"/>
          <w:i w:val="0"/>
          <w:smallCaps w:val="0"/>
          <w:strike w:val="0"/>
          <w:sz w:val="20"/>
          <w:highlight w:val="cyan"/>
          <w:u w:val="single"/>
        </w:rPr>
        <w:t>tech</w:t>
      </w:r>
      <w:r>
        <w:rPr>
          <w:b w:val="0"/>
          <w:i w:val="0"/>
          <w:smallCaps w:val="0"/>
          <w:strike w:val="0"/>
          <w:sz w:val="20"/>
          <w:u w:val="single"/>
        </w:rPr>
        <w:t xml:space="preserve">nological </w:t>
      </w:r>
      <w:r>
        <w:rPr>
          <w:b w:val="0"/>
          <w:i w:val="0"/>
          <w:smallCaps w:val="0"/>
          <w:strike w:val="0"/>
          <w:sz w:val="20"/>
          <w:highlight w:val="cyan"/>
          <w:u w:val="single"/>
        </w:rPr>
        <w:t xml:space="preserve">invention" to encompass </w:t>
      </w:r>
      <w:r>
        <w:rPr>
          <w:b w:val="0"/>
          <w:i w:val="0"/>
          <w:smallCaps w:val="0"/>
          <w:strike w:val="0"/>
          <w:sz w:val="20"/>
          <w:highlight w:val="cyan"/>
          <w:u w:val="single"/>
        </w:rPr>
        <w:t>biotech</w:t>
      </w:r>
      <w:r>
        <w:rPr>
          <w:b w:val="0"/>
          <w:i w:val="0"/>
          <w:smallCaps w:val="0"/>
          <w:strike w:val="0"/>
          <w:sz w:val="20"/>
          <w:u w:val="single"/>
        </w:rPr>
        <w:t xml:space="preserve">nology subject matter. </w:t>
      </w:r>
      <w:r>
        <w:rPr>
          <w:b w:val="0"/>
          <w:i w:val="0"/>
          <w:smallCaps w:val="0"/>
          <w:strike w:val="0"/>
          <w:sz w:val="20"/>
          <w:highlight w:val="cyan"/>
          <w:u w:val="single"/>
        </w:rPr>
        <w:t>Thus,</w:t>
      </w:r>
      <w:r>
        <w:rPr>
          <w:b w:val="0"/>
          <w:i w:val="0"/>
          <w:smallCaps w:val="0"/>
          <w:strike w:val="0"/>
          <w:sz w:val="20"/>
          <w:u w:val="single"/>
        </w:rPr>
        <w:t xml:space="preserve"> within the scope of CBMR, it is </w:t>
      </w:r>
      <w:r>
        <w:rPr>
          <w:b w:val="0"/>
          <w:i w:val="0"/>
          <w:smallCaps w:val="0"/>
          <w:strike w:val="0"/>
          <w:sz w:val="20"/>
          <w:highlight w:val="cyan"/>
          <w:u w:val="single"/>
        </w:rPr>
        <w:t>unlikely</w:t>
      </w:r>
      <w:r>
        <w:rPr>
          <w:b w:val="0"/>
          <w:i w:val="0"/>
          <w:smallCaps w:val="0"/>
          <w:strike w:val="0"/>
          <w:sz w:val="20"/>
          <w:u w:val="single"/>
        </w:rPr>
        <w:t xml:space="preserve"> that the </w:t>
      </w:r>
      <w:r>
        <w:rPr>
          <w:b w:val="0"/>
          <w:i w:val="0"/>
          <w:smallCaps w:val="0"/>
          <w:strike w:val="0"/>
          <w:sz w:val="20"/>
          <w:highlight w:val="cyan"/>
          <w:u w:val="single"/>
        </w:rPr>
        <w:t>PTAB</w:t>
      </w:r>
      <w:r>
        <w:rPr>
          <w:b w:val="0"/>
          <w:i w:val="0"/>
          <w:smallCaps w:val="0"/>
          <w:strike w:val="0"/>
          <w:sz w:val="20"/>
          <w:u w:val="single"/>
        </w:rPr>
        <w:t xml:space="preserve"> will </w:t>
      </w:r>
      <w:r>
        <w:rPr>
          <w:b w:val="0"/>
          <w:i w:val="0"/>
          <w:smallCaps w:val="0"/>
          <w:strike w:val="0"/>
          <w:sz w:val="20"/>
          <w:highlight w:val="cyan"/>
          <w:u w:val="single"/>
        </w:rPr>
        <w:t>have</w:t>
      </w:r>
      <w:r>
        <w:rPr>
          <w:b w:val="0"/>
          <w:i w:val="0"/>
          <w:smallCaps w:val="0"/>
          <w:strike w:val="0"/>
          <w:sz w:val="20"/>
          <w:u w:val="single"/>
        </w:rPr>
        <w:t xml:space="preserve"> a significant </w:t>
      </w:r>
      <w:r>
        <w:rPr>
          <w:b w:val="0"/>
          <w:i w:val="0"/>
          <w:smallCaps w:val="0"/>
          <w:strike w:val="0"/>
          <w:sz w:val="20"/>
          <w:highlight w:val="cyan"/>
          <w:u w:val="single"/>
        </w:rPr>
        <w:t>impact on</w:t>
      </w:r>
      <w:r>
        <w:rPr>
          <w:b w:val="0"/>
          <w:i w:val="0"/>
          <w:smallCaps w:val="0"/>
          <w:strike w:val="0"/>
          <w:sz w:val="20"/>
          <w:u w:val="single"/>
        </w:rPr>
        <w:t xml:space="preserve"> patent </w:t>
      </w:r>
      <w:r>
        <w:rPr>
          <w:b w:val="0"/>
          <w:i w:val="0"/>
          <w:smallCaps w:val="0"/>
          <w:strike w:val="0"/>
          <w:sz w:val="20"/>
          <w:highlight w:val="cyan"/>
          <w:u w:val="single"/>
        </w:rPr>
        <w:t>protection for biotech</w:t>
      </w:r>
      <w:r>
        <w:rPr>
          <w:b w:val="0"/>
          <w:i w:val="0"/>
          <w:smallCaps w:val="0"/>
          <w:strike w:val="0"/>
          <w:sz w:val="20"/>
          <w:u w:val="single"/>
        </w:rPr>
        <w:t>nology innovation</w:t>
      </w:r>
      <w:r>
        <w:rPr>
          <w:b w:val="0"/>
          <w:i w:val="0"/>
          <w:smallCaps w:val="0"/>
          <w:strike w:val="0"/>
          <w:sz w:val="20"/>
          <w:u w:val="single"/>
        </w:rPr>
        <w:t xml:space="preserve">. </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