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shields infringers from </w:t>
      </w:r>
      <w:r>
        <w:rPr>
          <w:b/>
          <w:i w:val="0"/>
          <w:smallCaps w:val="0"/>
          <w:strike w:val="0"/>
          <w:sz w:val="24"/>
          <w:u w:val="none"/>
        </w:rPr>
        <w:t>law suits</w:t>
      </w:r>
      <w:r>
        <w:rPr>
          <w:b/>
          <w:i w:val="0"/>
          <w:smallCaps w:val="0"/>
          <w:strike w:val="0"/>
          <w:sz w:val="24"/>
          <w:u w:val="none"/>
        </w:rPr>
        <w:t>---drives small innovators out of the market</w:t>
      </w:r>
    </w:p>
    <w:p>
      <w:pPr>
        <w:spacing w:after="80"/>
      </w:pPr>
      <w:r>
        <w:rPr>
          <w:b w:val="0"/>
          <w:i w:val="0"/>
          <w:smallCaps w:val="0"/>
          <w:strike w:val="0"/>
          <w:sz w:val="20"/>
          <w:u w:val="none"/>
        </w:rPr>
        <w:t xml:space="preserve">Ge </w:t>
      </w:r>
      <w:r>
        <w:rPr>
          <w:b/>
          <w:i w:val="0"/>
          <w:smallCaps w:val="0"/>
          <w:strike w:val="0"/>
          <w:sz w:val="24"/>
          <w:u w:val="none"/>
        </w:rPr>
        <w:t>You 22</w:t>
      </w:r>
      <w:r>
        <w:rPr>
          <w:b w:val="0"/>
          <w:i w:val="0"/>
          <w:smallCaps w:val="0"/>
          <w:strike w:val="0"/>
          <w:sz w:val="20"/>
          <w:u w:val="none"/>
        </w:rPr>
        <w:t xml:space="preserve">. </w:t>
      </w:r>
      <w:r>
        <w:rPr>
          <w:b w:val="0"/>
          <w:i w:val="0"/>
          <w:smallCaps w:val="0"/>
          <w:strike w:val="0"/>
          <w:sz w:val="20"/>
          <w:u w:val="none"/>
        </w:rPr>
        <w:t>Executive Editor, Southern California Law Review, Volume 95; J.D. Candidate 2022,</w:t>
      </w:r>
      <w:r>
        <w:rPr>
          <w:b w:val="0"/>
          <w:i w:val="0"/>
          <w:smallCaps w:val="0"/>
          <w:strike w:val="0"/>
          <w:sz w:val="20"/>
          <w:u w:val="none"/>
        </w:rPr>
        <w:t xml:space="preserve"> </w:t>
      </w:r>
      <w:r>
        <w:rPr>
          <w:b w:val="0"/>
          <w:i w:val="0"/>
          <w:smallCaps w:val="0"/>
          <w:strike w:val="0"/>
          <w:sz w:val="20"/>
          <w:u w:val="none"/>
        </w:rPr>
        <w:t>University of Southern California Gould School of Law</w:t>
      </w:r>
      <w:r>
        <w:rPr>
          <w:b w:val="0"/>
          <w:i w:val="0"/>
          <w:smallCaps w:val="0"/>
          <w:strike w:val="0"/>
          <w:sz w:val="20"/>
          <w:u w:val="none"/>
        </w:rPr>
        <w:t xml:space="preserve">. </w:t>
      </w:r>
      <w:r>
        <w:rPr>
          <w:b w:val="0"/>
          <w:i w:val="0"/>
          <w:smallCaps w:val="0"/>
          <w:strike w:val="0"/>
          <w:sz w:val="20"/>
          <w:u w:val="none"/>
        </w:rPr>
        <w:t>“</w:t>
      </w:r>
      <w:r>
        <w:rPr>
          <w:b w:val="0"/>
          <w:i w:val="0"/>
          <w:smallCaps w:val="0"/>
          <w:strike w:val="0"/>
          <w:sz w:val="20"/>
          <w:u w:val="none"/>
        </w:rPr>
        <w:t>A CLOSER LOOK AT THE PTAB OPERATION</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Hein Online. 2022. </w:t>
      </w:r>
      <w:r>
        <w:rPr>
          <w:b w:val="0"/>
          <w:i w:val="0"/>
          <w:smallCaps w:val="0"/>
          <w:strike w:val="0"/>
          <w:sz w:val="20"/>
          <w:u w:val="none"/>
        </w:rPr>
        <w:t>https://heinonline.org/HOL/LandingPage</w:t>
      </w:r>
      <w:r>
        <w:rPr>
          <w:b w:val="0"/>
          <w:i w:val="0"/>
          <w:smallCaps w:val="0"/>
          <w:strike w:val="0"/>
          <w:sz w:val="12"/>
          <w:u w:val="none"/>
        </w:rPr>
        <w:t>?</w:t>
      </w:r>
      <w:r>
        <w:rPr>
          <w:b w:val="0"/>
          <w:i w:val="0"/>
          <w:smallCaps w:val="0"/>
          <w:strike w:val="0"/>
          <w:sz w:val="20"/>
          <w:u w:val="none"/>
        </w:rPr>
        <w:t>handle=hein.journals/scal95&amp;div=23&amp;id=&amp;page=</w:t>
      </w:r>
      <w:r>
        <w:rPr>
          <w:b w:val="0"/>
          <w:i w:val="0"/>
          <w:smallCaps w:val="0"/>
          <w:strike w:val="0"/>
          <w:sz w:val="20"/>
          <w:u w:val="none"/>
        </w:rPr>
        <w:t xml:space="preserve"> //</w:t>
      </w:r>
    </w:p>
    <w:p>
      <w:pPr>
        <w:spacing w:after="60"/>
      </w:pPr>
      <w:r>
        <w:rPr>
          <w:b w:val="0"/>
          <w:i w:val="0"/>
          <w:smallCaps w:val="0"/>
          <w:strike w:val="0"/>
          <w:sz w:val="16"/>
          <w:u w:val="none"/>
        </w:rPr>
        <w:t>Turning to petitions pending alongside litigation, it appears that the</w:t>
      </w:r>
      <w:r>
        <w:rPr>
          <w:b w:val="0"/>
          <w:i w:val="0"/>
          <w:smallCaps w:val="0"/>
          <w:strike w:val="0"/>
          <w:sz w:val="20"/>
          <w:u w:val="single"/>
        </w:rPr>
        <w:t xml:space="preserve"> </w:t>
      </w:r>
      <w:r>
        <w:rPr>
          <w:b w:val="0"/>
          <w:i w:val="0"/>
          <w:smallCaps w:val="0"/>
          <w:strike w:val="0"/>
          <w:sz w:val="20"/>
          <w:highlight w:val="cyan"/>
          <w:u w:val="single"/>
        </w:rPr>
        <w:t>PTAB</w:t>
      </w:r>
      <w:r>
        <w:rPr>
          <w:b w:val="0"/>
          <w:i w:val="0"/>
          <w:smallCaps w:val="0"/>
          <w:strike w:val="0"/>
          <w:sz w:val="20"/>
          <w:u w:val="single"/>
        </w:rPr>
        <w:t xml:space="preserve"> mechanism has been a </w:t>
      </w:r>
      <w:r>
        <w:rPr>
          <w:b w:val="0"/>
          <w:i w:val="0"/>
          <w:smallCaps w:val="0"/>
          <w:strike w:val="0"/>
          <w:sz w:val="20"/>
          <w:highlight w:val="cyan"/>
          <w:u w:val="single"/>
        </w:rPr>
        <w:t>successful</w:t>
      </w:r>
      <w:r>
        <w:rPr>
          <w:b w:val="0"/>
          <w:i w:val="0"/>
          <w:smallCaps w:val="0"/>
          <w:strike w:val="0"/>
          <w:sz w:val="20"/>
          <w:u w:val="single"/>
        </w:rPr>
        <w:t xml:space="preserve"> means </w:t>
      </w:r>
      <w:r>
        <w:rPr>
          <w:b w:val="0"/>
          <w:i w:val="0"/>
          <w:smallCaps w:val="0"/>
          <w:strike w:val="0"/>
          <w:sz w:val="20"/>
          <w:highlight w:val="cyan"/>
          <w:u w:val="single"/>
        </w:rPr>
        <w:t>for</w:t>
      </w:r>
      <w:r>
        <w:rPr>
          <w:b w:val="0"/>
          <w:i w:val="0"/>
          <w:smallCaps w:val="0"/>
          <w:strike w:val="0"/>
          <w:sz w:val="20"/>
          <w:u w:val="single"/>
        </w:rPr>
        <w:t xml:space="preserve"> accused </w:t>
      </w:r>
      <w:r>
        <w:rPr>
          <w:b w:val="0"/>
          <w:i w:val="0"/>
          <w:smallCaps w:val="0"/>
          <w:strike w:val="0"/>
          <w:sz w:val="20"/>
          <w:highlight w:val="cyan"/>
          <w:u w:val="single"/>
        </w:rPr>
        <w:t>infringers</w:t>
      </w:r>
      <w:r>
        <w:rPr>
          <w:b w:val="0"/>
          <w:i w:val="0"/>
          <w:smallCaps w:val="0"/>
          <w:strike w:val="0"/>
          <w:sz w:val="20"/>
          <w:highlight w:val="cyan"/>
          <w:u w:val="single"/>
        </w:rPr>
        <w:t xml:space="preserve"> to halt patent suits</w:t>
      </w:r>
      <w:r>
        <w:rPr>
          <w:b w:val="0"/>
          <w:i w:val="0"/>
          <w:smallCaps w:val="0"/>
          <w:strike w:val="0"/>
          <w:sz w:val="20"/>
          <w:u w:val="single"/>
        </w:rPr>
        <w:t xml:space="preserve"> filed against them.</w:t>
      </w:r>
      <w:r>
        <w:rPr>
          <w:b w:val="0"/>
          <w:i w:val="0"/>
          <w:smallCaps w:val="0"/>
          <w:strike w:val="0"/>
          <w:sz w:val="16"/>
          <w:u w:val="none"/>
        </w:rPr>
        <w:t xml:space="preserve"> As shown in Table 8 above, </w:t>
      </w:r>
      <w:r>
        <w:rPr>
          <w:b w:val="0"/>
          <w:i w:val="0"/>
          <w:smallCaps w:val="0"/>
          <w:strike w:val="0"/>
          <w:sz w:val="20"/>
          <w:highlight w:val="cyan"/>
          <w:u w:val="single"/>
        </w:rPr>
        <w:t>83%</w:t>
      </w:r>
      <w:r>
        <w:rPr>
          <w:b w:val="0"/>
          <w:i w:val="0"/>
          <w:smallCaps w:val="0"/>
          <w:strike w:val="0"/>
          <w:sz w:val="20"/>
          <w:highlight w:val="cyan"/>
          <w:u w:val="single"/>
        </w:rPr>
        <w:t xml:space="preserve"> of</w:t>
      </w:r>
      <w:r>
        <w:rPr>
          <w:b w:val="0"/>
          <w:i w:val="0"/>
          <w:smallCaps w:val="0"/>
          <w:strike w:val="0"/>
          <w:sz w:val="20"/>
          <w:u w:val="single"/>
        </w:rPr>
        <w:t xml:space="preserve"> the </w:t>
      </w:r>
      <w:r>
        <w:rPr>
          <w:b w:val="0"/>
          <w:i w:val="0"/>
          <w:smallCaps w:val="0"/>
          <w:strike w:val="0"/>
          <w:sz w:val="20"/>
          <w:highlight w:val="cyan"/>
          <w:u w:val="single"/>
        </w:rPr>
        <w:t>patents challenged</w:t>
      </w:r>
      <w:r>
        <w:rPr>
          <w:b w:val="0"/>
          <w:i w:val="0"/>
          <w:smallCaps w:val="0"/>
          <w:strike w:val="0"/>
          <w:sz w:val="20"/>
          <w:u w:val="single"/>
        </w:rPr>
        <w:t xml:space="preserve"> at the PTAB </w:t>
      </w:r>
      <w:r>
        <w:rPr>
          <w:b w:val="0"/>
          <w:i w:val="0"/>
          <w:smallCaps w:val="0"/>
          <w:strike w:val="0"/>
          <w:sz w:val="20"/>
          <w:highlight w:val="cyan"/>
          <w:u w:val="single"/>
        </w:rPr>
        <w:t>were asserted in federal courts</w:t>
      </w:r>
      <w:r>
        <w:rPr>
          <w:b w:val="0"/>
          <w:i w:val="0"/>
          <w:smallCaps w:val="0"/>
          <w:strike w:val="0"/>
          <w:sz w:val="20"/>
          <w:u w:val="single"/>
        </w:rPr>
        <w:t xml:space="preserve"> simultaneously.</w:t>
      </w:r>
      <w:r>
        <w:rPr>
          <w:b w:val="0"/>
          <w:i w:val="0"/>
          <w:smallCaps w:val="0"/>
          <w:strike w:val="0"/>
          <w:sz w:val="16"/>
          <w:u w:val="none"/>
        </w:rPr>
        <w:t xml:space="preserve"> Specifically, the software industry is using IPRs more frequently to fight back, with 89% of the challenged software patents also asserted in federal court litigation. In the biosciences industry, only 71% </w:t>
      </w:r>
      <w:r>
        <w:rPr>
          <w:b w:val="0"/>
          <w:i w:val="0"/>
          <w:smallCaps w:val="0"/>
          <w:strike w:val="0"/>
          <w:sz w:val="16"/>
          <w:u w:val="none"/>
        </w:rPr>
        <w:t>the</w:t>
      </w:r>
      <w:r>
        <w:rPr>
          <w:b w:val="0"/>
          <w:i w:val="0"/>
          <w:smallCaps w:val="0"/>
          <w:strike w:val="0"/>
          <w:sz w:val="16"/>
          <w:u w:val="none"/>
        </w:rPr>
        <w:t xml:space="preserve"> challenged patents are also being asserted in federal court litigation.</w:t>
      </w:r>
    </w:p>
    <w:p>
      <w:pPr>
        <w:spacing w:after="60"/>
      </w:pPr>
      <w:r>
        <w:rPr>
          <w:b w:val="0"/>
          <w:i w:val="0"/>
          <w:smallCaps w:val="0"/>
          <w:strike w:val="0"/>
          <w:sz w:val="16"/>
          <w:u w:val="none"/>
        </w:rPr>
        <w:t xml:space="preserve">While such </w:t>
      </w:r>
      <w:r>
        <w:rPr>
          <w:b w:val="0"/>
          <w:i w:val="0"/>
          <w:smallCaps w:val="0"/>
          <w:strike w:val="0"/>
          <w:sz w:val="20"/>
          <w:highlight w:val="cyan"/>
          <w:u w:val="single"/>
        </w:rPr>
        <w:t>trends</w:t>
      </w:r>
      <w:r>
        <w:rPr>
          <w:b w:val="0"/>
          <w:i w:val="0"/>
          <w:smallCaps w:val="0"/>
          <w:strike w:val="0"/>
          <w:sz w:val="20"/>
          <w:highlight w:val="cyan"/>
          <w:u w:val="single"/>
        </w:rPr>
        <w:t xml:space="preserve"> confirm</w:t>
      </w:r>
      <w:r>
        <w:rPr>
          <w:b w:val="0"/>
          <w:i w:val="0"/>
          <w:smallCaps w:val="0"/>
          <w:strike w:val="0"/>
          <w:sz w:val="20"/>
          <w:u w:val="single"/>
        </w:rPr>
        <w:t xml:space="preserve"> the popularity of using </w:t>
      </w:r>
      <w:r>
        <w:rPr>
          <w:b w:val="0"/>
          <w:i w:val="0"/>
          <w:smallCaps w:val="0"/>
          <w:strike w:val="0"/>
          <w:sz w:val="20"/>
          <w:highlight w:val="cyan"/>
          <w:u w:val="single"/>
        </w:rPr>
        <w:t>PTAB</w:t>
      </w:r>
      <w:r>
        <w:rPr>
          <w:b w:val="0"/>
          <w:i w:val="0"/>
          <w:smallCaps w:val="0"/>
          <w:strike w:val="0"/>
          <w:sz w:val="20"/>
          <w:u w:val="single"/>
        </w:rPr>
        <w:t xml:space="preserve"> proceedings </w:t>
      </w:r>
      <w:r>
        <w:rPr>
          <w:b w:val="0"/>
          <w:i w:val="0"/>
          <w:smallCaps w:val="0"/>
          <w:strike w:val="0"/>
          <w:sz w:val="20"/>
          <w:highlight w:val="cyan"/>
          <w:u w:val="single"/>
        </w:rPr>
        <w:t>as</w:t>
      </w:r>
      <w:r>
        <w:rPr>
          <w:b w:val="0"/>
          <w:i w:val="0"/>
          <w:smallCaps w:val="0"/>
          <w:strike w:val="0"/>
          <w:sz w:val="20"/>
          <w:u w:val="single"/>
        </w:rPr>
        <w:t xml:space="preserve"> a </w:t>
      </w:r>
      <w:r>
        <w:rPr>
          <w:b w:val="0"/>
          <w:i w:val="0"/>
          <w:smallCaps w:val="0"/>
          <w:strike w:val="0"/>
          <w:sz w:val="20"/>
          <w:highlight w:val="cyan"/>
          <w:u w:val="single"/>
        </w:rPr>
        <w:t>shield</w:t>
      </w:r>
      <w:r>
        <w:rPr>
          <w:b w:val="0"/>
          <w:i w:val="0"/>
          <w:smallCaps w:val="0"/>
          <w:strike w:val="0"/>
          <w:sz w:val="20"/>
          <w:highlight w:val="cyan"/>
          <w:u w:val="single"/>
        </w:rPr>
        <w:t xml:space="preserve"> for</w:t>
      </w:r>
      <w:r>
        <w:rPr>
          <w:b w:val="0"/>
          <w:i w:val="0"/>
          <w:smallCaps w:val="0"/>
          <w:strike w:val="0"/>
          <w:sz w:val="20"/>
          <w:u w:val="single"/>
        </w:rPr>
        <w:t xml:space="preserve"> those accused of patent </w:t>
      </w:r>
      <w:r>
        <w:rPr>
          <w:b w:val="0"/>
          <w:i w:val="0"/>
          <w:smallCaps w:val="0"/>
          <w:strike w:val="0"/>
          <w:sz w:val="20"/>
          <w:highlight w:val="cyan"/>
          <w:u w:val="single"/>
        </w:rPr>
        <w:t>infringement</w:t>
      </w:r>
      <w:r>
        <w:rPr>
          <w:b w:val="0"/>
          <w:i w:val="0"/>
          <w:smallCaps w:val="0"/>
          <w:strike w:val="0"/>
          <w:sz w:val="20"/>
          <w:u w:val="single"/>
        </w:rPr>
        <w:t xml:space="preserve">, </w:t>
      </w:r>
      <w:r>
        <w:rPr>
          <w:b w:val="0"/>
          <w:i w:val="0"/>
          <w:smallCaps w:val="0"/>
          <w:strike w:val="0"/>
          <w:sz w:val="16"/>
          <w:u w:val="none"/>
        </w:rPr>
        <w:t xml:space="preserve">it remains to be seen whether this popularity will continue, especially when institution rates are decreasing. Back in 2014, there was an 81.9% chance for a district court to grant stay if there was a pending PTAB petition 99 </w:t>
      </w:r>
      <w:r>
        <w:rPr>
          <w:b w:val="0"/>
          <w:i w:val="0"/>
          <w:smallCaps w:val="0"/>
          <w:strike w:val="0"/>
          <w:sz w:val="20"/>
          <w:u w:val="single"/>
        </w:rPr>
        <w:t xml:space="preserve">Now </w:t>
      </w:r>
      <w:r>
        <w:rPr>
          <w:b w:val="0"/>
          <w:i w:val="0"/>
          <w:smallCaps w:val="0"/>
          <w:strike w:val="0"/>
          <w:sz w:val="20"/>
          <w:highlight w:val="cyan"/>
          <w:u w:val="single"/>
        </w:rPr>
        <w:t xml:space="preserve">with more </w:t>
      </w:r>
      <w:r>
        <w:rPr>
          <w:b w:val="0"/>
          <w:i w:val="0"/>
          <w:smallCaps w:val="0"/>
          <w:strike w:val="0"/>
          <w:sz w:val="20"/>
          <w:highlight w:val="cyan"/>
          <w:u w:val="single"/>
        </w:rPr>
        <w:t>uncertainties</w:t>
      </w:r>
      <w:r>
        <w:rPr>
          <w:b w:val="0"/>
          <w:i w:val="0"/>
          <w:smallCaps w:val="0"/>
          <w:strike w:val="0"/>
          <w:sz w:val="20"/>
          <w:u w:val="single"/>
        </w:rPr>
        <w:t xml:space="preserve"> in the institution process,</w:t>
      </w:r>
      <w:r>
        <w:rPr>
          <w:b w:val="0"/>
          <w:i w:val="0"/>
          <w:smallCaps w:val="0"/>
          <w:strike w:val="0"/>
          <w:sz w:val="16"/>
          <w:u w:val="none"/>
        </w:rPr>
        <w:t xml:space="preserve"> it would be interesting to see whether district courts are still willing to grant stays, especially when it is unclear if the filed IPRs will get instituted or thrown out of the PTAB. If district courts do not grant stays, many patent owners would be forced to take on additional expenses to defend their patents on two fronts, both in front of the PTAB and in district courts. </w:t>
      </w:r>
      <w:r>
        <w:rPr>
          <w:b w:val="0"/>
          <w:i w:val="0"/>
          <w:smallCaps w:val="0"/>
          <w:strike w:val="0"/>
          <w:sz w:val="20"/>
          <w:highlight w:val="cyan"/>
          <w:u w:val="single"/>
        </w:rPr>
        <w:t xml:space="preserve">For </w:t>
      </w:r>
      <w:r>
        <w:rPr>
          <w:b w:val="0"/>
          <w:i w:val="0"/>
          <w:smallCaps w:val="0"/>
          <w:strike w:val="0"/>
          <w:sz w:val="20"/>
          <w:highlight w:val="cyan"/>
          <w:u w:val="single"/>
        </w:rPr>
        <w:t>smaller innovators</w:t>
      </w:r>
      <w:r>
        <w:rPr>
          <w:b w:val="0"/>
          <w:i w:val="0"/>
          <w:smallCaps w:val="0"/>
          <w:strike w:val="0"/>
          <w:sz w:val="20"/>
          <w:highlight w:val="cyan"/>
          <w:u w:val="single"/>
        </w:rPr>
        <w:t>,</w:t>
      </w:r>
      <w:r>
        <w:rPr>
          <w:b w:val="0"/>
          <w:i w:val="0"/>
          <w:smallCaps w:val="0"/>
          <w:strike w:val="0"/>
          <w:sz w:val="20"/>
          <w:u w:val="single"/>
        </w:rPr>
        <w:t xml:space="preserve"> such double-whammies might </w:t>
      </w:r>
      <w:r>
        <w:rPr>
          <w:b w:val="0"/>
          <w:i w:val="0"/>
          <w:smallCaps w:val="0"/>
          <w:strike w:val="0"/>
          <w:sz w:val="20"/>
          <w:highlight w:val="cyan"/>
          <w:u w:val="single"/>
        </w:rPr>
        <w:t xml:space="preserve">drive them out of </w:t>
      </w:r>
      <w:r>
        <w:rPr>
          <w:b w:val="0"/>
          <w:i w:val="0"/>
          <w:smallCaps w:val="0"/>
          <w:strike w:val="0"/>
          <w:sz w:val="20"/>
          <w:highlight w:val="cyan"/>
          <w:u w:val="single"/>
        </w:rPr>
        <w:t>business.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