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invalidation causes </w:t>
      </w:r>
      <w:r>
        <w:rPr>
          <w:b/>
          <w:i w:val="0"/>
          <w:smallCaps w:val="0"/>
          <w:strike w:val="0"/>
          <w:sz w:val="24"/>
          <w:u w:val="single"/>
        </w:rPr>
        <w:t>economic decline</w:t>
      </w:r>
    </w:p>
    <w:p>
      <w:pPr>
        <w:spacing w:after="80"/>
      </w:pPr>
      <w:r>
        <w:rPr>
          <w:b w:val="0"/>
          <w:i w:val="0"/>
          <w:smallCaps w:val="0"/>
          <w:strike w:val="0"/>
          <w:sz w:val="20"/>
          <w:u w:val="none"/>
        </w:rPr>
        <w:t xml:space="preserve">Sean Calvin </w:t>
      </w:r>
      <w:r>
        <w:rPr>
          <w:b/>
          <w:i w:val="0"/>
          <w:smallCaps w:val="0"/>
          <w:strike w:val="0"/>
          <w:sz w:val="24"/>
          <w:u w:val="none"/>
        </w:rPr>
        <w:t>Sparrow</w:t>
      </w:r>
      <w:r>
        <w:rPr>
          <w:b/>
          <w:i w:val="0"/>
          <w:smallCaps w:val="0"/>
          <w:strike w:val="0"/>
          <w:sz w:val="24"/>
          <w:u w:val="none"/>
        </w:rPr>
        <w:t xml:space="preserve"> </w:t>
      </w:r>
      <w:r>
        <w:rPr>
          <w:b w:val="0"/>
          <w:i w:val="0"/>
          <w:smallCaps w:val="0"/>
          <w:strike w:val="0"/>
          <w:sz w:val="20"/>
          <w:u w:val="none"/>
        </w:rPr>
        <w:t>20</w:t>
      </w:r>
      <w:r>
        <w:rPr>
          <w:b/>
          <w:i w:val="0"/>
          <w:smallCaps w:val="0"/>
          <w:strike w:val="0"/>
          <w:sz w:val="24"/>
          <w:u w:val="none"/>
        </w:rPr>
        <w:t xml:space="preserve">19 </w:t>
      </w:r>
      <w:r>
        <w:rPr>
          <w:b w:val="0"/>
          <w:i w:val="0"/>
          <w:smallCaps w:val="0"/>
          <w:strike w:val="0"/>
          <w:sz w:val="20"/>
          <w:u w:val="none"/>
        </w:rPr>
        <w:t>(Sean Sparrow is an Associate at McAndrews whose practice focuses on intellectual property litigation and prosecution</w:t>
      </w:r>
      <w:r>
        <w:rPr>
          <w:b w:val="0"/>
          <w:i w:val="0"/>
          <w:smallCaps w:val="0"/>
          <w:strike w:val="0"/>
          <w:sz w:val="20"/>
          <w:u w:val="none"/>
        </w:rPr>
        <w:t xml:space="preserve">, </w:t>
      </w:r>
      <w:r>
        <w:rPr>
          <w:b w:val="0"/>
          <w:i w:val="0"/>
          <w:smallCaps w:val="0"/>
          <w:strike w:val="0"/>
          <w:sz w:val="20"/>
          <w:u w:val="none"/>
        </w:rPr>
        <w:t>Fall</w:t>
      </w:r>
      <w:r>
        <w:rPr>
          <w:b w:val="0"/>
          <w:i w:val="0"/>
          <w:smallCaps w:val="0"/>
          <w:strike w:val="0"/>
          <w:sz w:val="20"/>
          <w:u w:val="none"/>
        </w:rPr>
        <w:t xml:space="preserve"> 2019, </w:t>
      </w:r>
      <w:r>
        <w:rPr>
          <w:b w:val="0"/>
          <w:i w:val="0"/>
          <w:smallCaps w:val="0"/>
          <w:strike w:val="0"/>
          <w:sz w:val="20"/>
          <w:u w:val="none"/>
        </w:rPr>
        <w:t>https://via.library.depaul.edu/cgi/viewcontent.cgi?article=4113&amp;context=law-review</w:t>
      </w:r>
      <w:r>
        <w:rPr>
          <w:b w:val="0"/>
          <w:i w:val="0"/>
          <w:smallCaps w:val="0"/>
          <w:strike w:val="0"/>
          <w:sz w:val="20"/>
          <w:u w:val="none"/>
        </w:rPr>
        <w:t>, "</w:t>
      </w:r>
      <w:r>
        <w:rPr>
          <w:b w:val="0"/>
          <w:i w:val="0"/>
          <w:smallCaps w:val="0"/>
          <w:strike w:val="0"/>
          <w:sz w:val="20"/>
          <w:u w:val="none"/>
        </w:rPr>
        <w:t>COMMENT: BURIED ALIVE: THE EXISTENCE OF ASSIGNEE ESTOPPEL IN PATENT LAW, 69</w:t>
      </w:r>
      <w:r>
        <w:rPr>
          <w:b w:val="0"/>
          <w:i w:val="0"/>
          <w:smallCaps w:val="0"/>
          <w:strike w:val="0"/>
          <w:sz w:val="20"/>
          <w:u w:val="none"/>
        </w:rPr>
        <w:t>")//</w:t>
      </w:r>
      <w:r>
        <w:rPr>
          <w:b w:val="0"/>
          <w:i w:val="0"/>
          <w:smallCaps w:val="0"/>
          <w:strike w:val="0"/>
          <w:sz w:val="20"/>
          <w:u w:val="none"/>
        </w:rPr>
        <w:t>rohan</w:t>
      </w:r>
    </w:p>
    <w:p>
      <w:pPr>
        <w:spacing w:after="60"/>
      </w:pPr>
      <w:r>
        <w:rPr>
          <w:b w:val="0"/>
          <w:i w:val="0"/>
          <w:smallCaps w:val="0"/>
          <w:strike w:val="0"/>
          <w:sz w:val="20"/>
          <w:u w:val="single"/>
        </w:rPr>
        <w:t xml:space="preserve">The rate of </w:t>
      </w:r>
      <w:r>
        <w:rPr>
          <w:b w:val="0"/>
          <w:i w:val="0"/>
          <w:smallCaps w:val="0"/>
          <w:strike w:val="0"/>
          <w:sz w:val="20"/>
          <w:highlight w:val="cyan"/>
          <w:u w:val="single"/>
        </w:rPr>
        <w:t xml:space="preserve">patent invalidation </w:t>
      </w:r>
      <w:r>
        <w:rPr>
          <w:b w:val="0"/>
          <w:i w:val="0"/>
          <w:smallCaps w:val="0"/>
          <w:strike w:val="0"/>
          <w:sz w:val="20"/>
          <w:u w:val="single"/>
        </w:rPr>
        <w:t xml:space="preserve">in the United States appears to be </w:t>
      </w:r>
      <w:r>
        <w:rPr>
          <w:b w:val="0"/>
          <w:i w:val="0"/>
          <w:smallCaps w:val="0"/>
          <w:strike w:val="0"/>
          <w:sz w:val="20"/>
          <w:highlight w:val="cyan"/>
          <w:u w:val="single"/>
        </w:rPr>
        <w:t>increasingly</w:t>
      </w:r>
      <w:r>
        <w:rPr>
          <w:b w:val="0"/>
          <w:i w:val="0"/>
          <w:smallCaps w:val="0"/>
          <w:strike w:val="0"/>
          <w:sz w:val="20"/>
          <w:highlight w:val="cyan"/>
          <w:u w:val="single"/>
        </w:rPr>
        <w:t xml:space="preserve"> </w:t>
      </w:r>
      <w:r>
        <w:rPr>
          <w:b w:val="0"/>
          <w:i w:val="0"/>
          <w:smallCaps w:val="0"/>
          <w:strike w:val="0"/>
          <w:sz w:val="20"/>
          <w:highlight w:val="cyan"/>
          <w:u w:val="single"/>
        </w:rPr>
        <w:t>high</w:t>
      </w:r>
      <w:r>
        <w:rPr>
          <w:b w:val="0"/>
          <w:i w:val="0"/>
          <w:smallCaps w:val="0"/>
          <w:strike w:val="0"/>
          <w:sz w:val="20"/>
          <w:u w:val="single"/>
        </w:rPr>
        <w:t>.</w:t>
      </w:r>
      <w:r>
        <w:rPr>
          <w:b w:val="0"/>
          <w:i w:val="0"/>
          <w:smallCaps w:val="0"/>
          <w:strike w:val="0"/>
          <w:sz w:val="14"/>
          <w:u w:val="none"/>
        </w:rPr>
        <w:t xml:space="preserve"> 34Link to the text of the note Nearly forty-six percent of all patents litigated to judgment are held to be invalid. 35Link to the text of the note Due to this, </w:t>
      </w:r>
      <w:r>
        <w:rPr>
          <w:b w:val="0"/>
          <w:i w:val="0"/>
          <w:smallCaps w:val="0"/>
          <w:strike w:val="0"/>
          <w:sz w:val="20"/>
          <w:u w:val="single"/>
        </w:rPr>
        <w:t xml:space="preserve">scholars have </w:t>
      </w:r>
      <w:r>
        <w:rPr>
          <w:b w:val="0"/>
          <w:i w:val="0"/>
          <w:smallCaps w:val="0"/>
          <w:strike w:val="0"/>
          <w:sz w:val="20"/>
          <w:u w:val="single"/>
        </w:rPr>
        <w:t>identified</w:t>
      </w:r>
      <w:r>
        <w:rPr>
          <w:b w:val="0"/>
          <w:i w:val="0"/>
          <w:smallCaps w:val="0"/>
          <w:strike w:val="0"/>
          <w:sz w:val="20"/>
          <w:u w:val="single"/>
        </w:rPr>
        <w:t xml:space="preserve"> </w:t>
      </w:r>
      <w:r>
        <w:rPr>
          <w:b w:val="0"/>
          <w:i w:val="0"/>
          <w:smallCaps w:val="0"/>
          <w:strike w:val="0"/>
          <w:sz w:val="20"/>
          <w:highlight w:val="cyan"/>
          <w:u w:val="single"/>
        </w:rPr>
        <w:t>multiple</w:t>
      </w:r>
      <w:r>
        <w:rPr>
          <w:b w:val="0"/>
          <w:i w:val="0"/>
          <w:smallCaps w:val="0"/>
          <w:strike w:val="0"/>
          <w:sz w:val="20"/>
          <w:highlight w:val="cyan"/>
          <w:u w:val="single"/>
        </w:rPr>
        <w:t xml:space="preserve"> </w:t>
      </w:r>
      <w:r>
        <w:rPr>
          <w:b w:val="0"/>
          <w:i w:val="0"/>
          <w:smallCaps w:val="0"/>
          <w:strike w:val="0"/>
          <w:sz w:val="20"/>
          <w:highlight w:val="cyan"/>
          <w:u w:val="single"/>
        </w:rPr>
        <w:t>reasons</w:t>
      </w:r>
      <w:r>
        <w:rPr>
          <w:b w:val="0"/>
          <w:i w:val="0"/>
          <w:smallCaps w:val="0"/>
          <w:strike w:val="0"/>
          <w:sz w:val="20"/>
          <w:highlight w:val="cyan"/>
          <w:u w:val="single"/>
        </w:rPr>
        <w:t xml:space="preserve"> </w:t>
      </w:r>
      <w:r>
        <w:rPr>
          <w:b w:val="0"/>
          <w:i w:val="0"/>
          <w:smallCaps w:val="0"/>
          <w:strike w:val="0"/>
          <w:sz w:val="20"/>
          <w:u w:val="single"/>
        </w:rPr>
        <w:t xml:space="preserve">that lead to the </w:t>
      </w:r>
      <w:r>
        <w:rPr>
          <w:b w:val="0"/>
          <w:i w:val="0"/>
          <w:smallCaps w:val="0"/>
          <w:strike w:val="0"/>
          <w:sz w:val="20"/>
          <w:u w:val="single"/>
        </w:rPr>
        <w:t>invalidation</w:t>
      </w:r>
      <w:r>
        <w:rPr>
          <w:b w:val="0"/>
          <w:i w:val="0"/>
          <w:smallCaps w:val="0"/>
          <w:strike w:val="0"/>
          <w:sz w:val="20"/>
          <w:u w:val="single"/>
        </w:rPr>
        <w:t xml:space="preserve"> of patents</w:t>
      </w:r>
      <w:r>
        <w:rPr>
          <w:b w:val="0"/>
          <w:i w:val="0"/>
          <w:smallCaps w:val="0"/>
          <w:strike w:val="0"/>
          <w:sz w:val="14"/>
          <w:u w:val="none"/>
        </w:rPr>
        <w:t xml:space="preserve">. At first glance, guilt falls on the inefficiency of the system for granting patents. 36Link to the text of the note </w:t>
      </w:r>
      <w:r>
        <w:rPr>
          <w:b w:val="0"/>
          <w:i w:val="0"/>
          <w:smallCaps w:val="0"/>
          <w:strike w:val="0"/>
          <w:sz w:val="20"/>
          <w:u w:val="single"/>
        </w:rPr>
        <w:t xml:space="preserve">The </w:t>
      </w:r>
      <w:r>
        <w:rPr>
          <w:b w:val="0"/>
          <w:i w:val="0"/>
          <w:smallCaps w:val="0"/>
          <w:strike w:val="0"/>
          <w:sz w:val="20"/>
          <w:highlight w:val="cyan"/>
          <w:u w:val="single"/>
        </w:rPr>
        <w:t xml:space="preserve">Patent Office </w:t>
      </w:r>
      <w:r>
        <w:rPr>
          <w:b w:val="0"/>
          <w:i w:val="0"/>
          <w:smallCaps w:val="0"/>
          <w:strike w:val="0"/>
          <w:sz w:val="20"/>
          <w:u w:val="single"/>
        </w:rPr>
        <w:t xml:space="preserve">is routinely </w:t>
      </w:r>
      <w:r>
        <w:rPr>
          <w:b w:val="0"/>
          <w:i w:val="0"/>
          <w:smallCaps w:val="0"/>
          <w:strike w:val="0"/>
          <w:sz w:val="20"/>
          <w:highlight w:val="cyan"/>
          <w:u w:val="single"/>
        </w:rPr>
        <w:t>criticized</w:t>
      </w:r>
      <w:r>
        <w:rPr>
          <w:b w:val="0"/>
          <w:i w:val="0"/>
          <w:smallCaps w:val="0"/>
          <w:strike w:val="0"/>
          <w:sz w:val="20"/>
          <w:highlight w:val="cyan"/>
          <w:u w:val="single"/>
        </w:rPr>
        <w:t xml:space="preserve"> </w:t>
      </w:r>
      <w:r>
        <w:rPr>
          <w:b w:val="0"/>
          <w:i w:val="0"/>
          <w:smallCaps w:val="0"/>
          <w:strike w:val="0"/>
          <w:sz w:val="20"/>
          <w:u w:val="single"/>
        </w:rPr>
        <w:t xml:space="preserve">as </w:t>
      </w:r>
      <w:r>
        <w:rPr>
          <w:b w:val="0"/>
          <w:i w:val="0"/>
          <w:smallCaps w:val="0"/>
          <w:strike w:val="0"/>
          <w:sz w:val="20"/>
          <w:highlight w:val="cyan"/>
          <w:u w:val="single"/>
        </w:rPr>
        <w:t xml:space="preserve">being a </w:t>
      </w:r>
      <w:r>
        <w:rPr>
          <w:b w:val="0"/>
          <w:i w:val="0"/>
          <w:smallCaps w:val="0"/>
          <w:strike w:val="0"/>
          <w:sz w:val="20"/>
          <w:u w:val="single"/>
        </w:rPr>
        <w:t>"</w:t>
      </w:r>
      <w:r>
        <w:rPr>
          <w:b w:val="0"/>
          <w:i w:val="0"/>
          <w:smallCaps w:val="0"/>
          <w:strike w:val="0"/>
          <w:sz w:val="20"/>
          <w:highlight w:val="cyan"/>
          <w:u w:val="single"/>
        </w:rPr>
        <w:t>rubber</w:t>
      </w:r>
      <w:r>
        <w:rPr>
          <w:b w:val="0"/>
          <w:i w:val="0"/>
          <w:smallCaps w:val="0"/>
          <w:strike w:val="0"/>
          <w:sz w:val="20"/>
          <w:highlight w:val="cyan"/>
          <w:u w:val="single"/>
        </w:rPr>
        <w:t xml:space="preserve"> </w:t>
      </w:r>
      <w:r>
        <w:rPr>
          <w:b w:val="0"/>
          <w:i w:val="0"/>
          <w:smallCaps w:val="0"/>
          <w:strike w:val="0"/>
          <w:sz w:val="20"/>
          <w:highlight w:val="cyan"/>
          <w:u w:val="single"/>
        </w:rPr>
        <w:t>stamp</w:t>
      </w:r>
      <w:r>
        <w:rPr>
          <w:b w:val="0"/>
          <w:i w:val="0"/>
          <w:smallCaps w:val="0"/>
          <w:strike w:val="0"/>
          <w:sz w:val="20"/>
          <w:u w:val="single"/>
        </w:rPr>
        <w:t xml:space="preserve">" for patents and </w:t>
      </w:r>
      <w:r>
        <w:rPr>
          <w:b w:val="0"/>
          <w:i w:val="0"/>
          <w:smallCaps w:val="0"/>
          <w:strike w:val="0"/>
          <w:sz w:val="20"/>
          <w:u w:val="single"/>
        </w:rPr>
        <w:t>frequently</w:t>
      </w:r>
      <w:r>
        <w:rPr>
          <w:b w:val="0"/>
          <w:i w:val="0"/>
          <w:smallCaps w:val="0"/>
          <w:strike w:val="0"/>
          <w:sz w:val="20"/>
          <w:u w:val="single"/>
        </w:rPr>
        <w:t xml:space="preserve"> issuing </w:t>
      </w:r>
      <w:r>
        <w:rPr>
          <w:b w:val="0"/>
          <w:i w:val="0"/>
          <w:smallCaps w:val="0"/>
          <w:strike w:val="0"/>
          <w:sz w:val="20"/>
          <w:u w:val="single"/>
        </w:rPr>
        <w:t xml:space="preserve">the </w:t>
      </w:r>
      <w:r>
        <w:rPr>
          <w:b w:val="0"/>
          <w:i w:val="0"/>
          <w:smallCaps w:val="0"/>
          <w:strike w:val="0"/>
          <w:sz w:val="20"/>
          <w:u w:val="single"/>
        </w:rPr>
        <w:t>majority</w:t>
      </w:r>
      <w:r>
        <w:rPr>
          <w:b w:val="0"/>
          <w:i w:val="0"/>
          <w:smallCaps w:val="0"/>
          <w:strike w:val="0"/>
          <w:sz w:val="20"/>
          <w:u w:val="single"/>
        </w:rPr>
        <w:t xml:space="preserve"> of</w:t>
      </w:r>
      <w:r>
        <w:rPr>
          <w:b w:val="0"/>
          <w:i w:val="0"/>
          <w:smallCaps w:val="0"/>
          <w:strike w:val="0"/>
          <w:sz w:val="20"/>
          <w:u w:val="single"/>
        </w:rPr>
        <w:t xml:space="preserve"> </w:t>
      </w:r>
      <w:r>
        <w:rPr>
          <w:b w:val="0"/>
          <w:i w:val="0"/>
          <w:smallCaps w:val="0"/>
          <w:strike w:val="0"/>
          <w:sz w:val="20"/>
          <w:u w:val="single"/>
        </w:rPr>
        <w:t>applications</w:t>
      </w:r>
      <w:r>
        <w:rPr>
          <w:b w:val="0"/>
          <w:i w:val="0"/>
          <w:smallCaps w:val="0"/>
          <w:strike w:val="0"/>
          <w:sz w:val="20"/>
          <w:u w:val="single"/>
        </w:rPr>
        <w:t>.</w:t>
      </w:r>
      <w:r>
        <w:rPr>
          <w:b w:val="0"/>
          <w:i w:val="0"/>
          <w:smallCaps w:val="0"/>
          <w:strike w:val="0"/>
          <w:sz w:val="14"/>
          <w:u w:val="none"/>
        </w:rPr>
        <w:t xml:space="preserve"> 37Link to the text of the note Another factor, more pertinent to assignee estoppel, involves the vast changes in substantive patent law on which a patent can be invalidated. 38Link to the text of the note Academics have noted that "</w:t>
      </w:r>
      <w:r>
        <w:rPr>
          <w:b w:val="0"/>
          <w:i w:val="0"/>
          <w:smallCaps w:val="0"/>
          <w:strike w:val="0"/>
          <w:sz w:val="20"/>
          <w:highlight w:val="cyan"/>
          <w:u w:val="single"/>
        </w:rPr>
        <w:t xml:space="preserve">courts </w:t>
      </w:r>
      <w:r>
        <w:rPr>
          <w:b w:val="0"/>
          <w:i w:val="0"/>
          <w:smallCaps w:val="0"/>
          <w:strike w:val="0"/>
          <w:sz w:val="20"/>
          <w:u w:val="single"/>
        </w:rPr>
        <w:t xml:space="preserve">at </w:t>
      </w:r>
      <w:r>
        <w:rPr>
          <w:b w:val="0"/>
          <w:i w:val="0"/>
          <w:smallCaps w:val="0"/>
          <w:strike w:val="0"/>
          <w:sz w:val="20"/>
          <w:u w:val="single"/>
        </w:rPr>
        <w:t>different</w:t>
      </w:r>
      <w:r>
        <w:rPr>
          <w:b w:val="0"/>
          <w:i w:val="0"/>
          <w:smallCaps w:val="0"/>
          <w:strike w:val="0"/>
          <w:sz w:val="20"/>
          <w:u w:val="single"/>
        </w:rPr>
        <w:t xml:space="preserve"> </w:t>
      </w:r>
      <w:r>
        <w:rPr>
          <w:b w:val="0"/>
          <w:i w:val="0"/>
          <w:smallCaps w:val="0"/>
          <w:strike w:val="0"/>
          <w:sz w:val="20"/>
          <w:u w:val="single"/>
        </w:rPr>
        <w:t>times</w:t>
      </w:r>
      <w:r>
        <w:rPr>
          <w:b w:val="0"/>
          <w:i w:val="0"/>
          <w:smallCaps w:val="0"/>
          <w:strike w:val="0"/>
          <w:sz w:val="20"/>
          <w:u w:val="single"/>
        </w:rPr>
        <w:t xml:space="preserve"> could </w:t>
      </w:r>
      <w:r>
        <w:rPr>
          <w:b w:val="0"/>
          <w:i w:val="0"/>
          <w:smallCaps w:val="0"/>
          <w:strike w:val="0"/>
          <w:sz w:val="20"/>
          <w:highlight w:val="cyan"/>
          <w:u w:val="single"/>
        </w:rPr>
        <w:t xml:space="preserve">reach </w:t>
      </w:r>
      <w:r>
        <w:rPr>
          <w:b w:val="0"/>
          <w:i w:val="0"/>
          <w:smallCaps w:val="0"/>
          <w:strike w:val="0"/>
          <w:sz w:val="20"/>
          <w:highlight w:val="cyan"/>
          <w:u w:val="single"/>
        </w:rPr>
        <w:t>opposite</w:t>
      </w:r>
      <w:r>
        <w:rPr>
          <w:b w:val="0"/>
          <w:i w:val="0"/>
          <w:smallCaps w:val="0"/>
          <w:strike w:val="0"/>
          <w:sz w:val="20"/>
          <w:highlight w:val="cyan"/>
          <w:u w:val="single"/>
        </w:rPr>
        <w:t xml:space="preserve"> </w:t>
      </w:r>
      <w:r>
        <w:rPr>
          <w:b w:val="0"/>
          <w:i w:val="0"/>
          <w:smallCaps w:val="0"/>
          <w:strike w:val="0"/>
          <w:sz w:val="20"/>
          <w:highlight w:val="cyan"/>
          <w:u w:val="single"/>
        </w:rPr>
        <w:t>decisions</w:t>
      </w:r>
      <w:r>
        <w:rPr>
          <w:b w:val="0"/>
          <w:i w:val="0"/>
          <w:smallCaps w:val="0"/>
          <w:strike w:val="0"/>
          <w:sz w:val="20"/>
          <w:highlight w:val="cyan"/>
          <w:u w:val="single"/>
        </w:rPr>
        <w:t xml:space="preserve"> on </w:t>
      </w:r>
      <w:r>
        <w:rPr>
          <w:b w:val="0"/>
          <w:i w:val="0"/>
          <w:smallCaps w:val="0"/>
          <w:strike w:val="0"/>
          <w:sz w:val="20"/>
          <w:u w:val="single"/>
        </w:rPr>
        <w:t xml:space="preserve">the </w:t>
      </w:r>
      <w:r>
        <w:rPr>
          <w:b w:val="0"/>
          <w:i w:val="0"/>
          <w:smallCaps w:val="0"/>
          <w:strike w:val="0"/>
          <w:sz w:val="20"/>
          <w:highlight w:val="cyan"/>
          <w:u w:val="single"/>
        </w:rPr>
        <w:t>validity</w:t>
      </w:r>
      <w:r>
        <w:rPr>
          <w:b w:val="0"/>
          <w:i w:val="0"/>
          <w:smallCaps w:val="0"/>
          <w:strike w:val="0"/>
          <w:sz w:val="20"/>
          <w:highlight w:val="cyan"/>
          <w:u w:val="single"/>
        </w:rPr>
        <w:t xml:space="preserve"> </w:t>
      </w:r>
      <w:r>
        <w:rPr>
          <w:b w:val="0"/>
          <w:i w:val="0"/>
          <w:smallCaps w:val="0"/>
          <w:strike w:val="0"/>
          <w:sz w:val="20"/>
          <w:u w:val="single"/>
        </w:rPr>
        <w:t xml:space="preserve">of the same patent based on the </w:t>
      </w:r>
      <w:r>
        <w:rPr>
          <w:b w:val="0"/>
          <w:i w:val="0"/>
          <w:smallCaps w:val="0"/>
          <w:strike w:val="0"/>
          <w:sz w:val="20"/>
          <w:u w:val="single"/>
        </w:rPr>
        <w:t>relevant</w:t>
      </w:r>
      <w:r>
        <w:rPr>
          <w:b w:val="0"/>
          <w:i w:val="0"/>
          <w:smallCaps w:val="0"/>
          <w:strike w:val="0"/>
          <w:sz w:val="20"/>
          <w:u w:val="single"/>
        </w:rPr>
        <w:t xml:space="preserve"> </w:t>
      </w:r>
      <w:r>
        <w:rPr>
          <w:b w:val="0"/>
          <w:i w:val="0"/>
          <w:smallCaps w:val="0"/>
          <w:strike w:val="0"/>
          <w:sz w:val="20"/>
          <w:u w:val="single"/>
        </w:rPr>
        <w:t>patent</w:t>
      </w:r>
      <w:r>
        <w:rPr>
          <w:b w:val="0"/>
          <w:i w:val="0"/>
          <w:smallCaps w:val="0"/>
          <w:strike w:val="0"/>
          <w:sz w:val="20"/>
          <w:u w:val="single"/>
        </w:rPr>
        <w:t xml:space="preserve"> </w:t>
      </w:r>
      <w:r>
        <w:rPr>
          <w:b w:val="0"/>
          <w:i w:val="0"/>
          <w:smallCaps w:val="0"/>
          <w:strike w:val="0"/>
          <w:sz w:val="20"/>
          <w:u w:val="single"/>
        </w:rPr>
        <w:t>laws</w:t>
      </w:r>
      <w:r>
        <w:rPr>
          <w:b w:val="0"/>
          <w:i w:val="0"/>
          <w:smallCaps w:val="0"/>
          <w:strike w:val="0"/>
          <w:sz w:val="20"/>
          <w:u w:val="single"/>
        </w:rPr>
        <w:t xml:space="preserve"> of that particular period of time</w:t>
      </w:r>
      <w:r>
        <w:rPr>
          <w:b w:val="0"/>
          <w:i w:val="0"/>
          <w:smallCaps w:val="0"/>
          <w:strike w:val="0"/>
          <w:sz w:val="14"/>
          <w:u w:val="none"/>
        </w:rPr>
        <w:t>." 39Link to the text of the note Yet allowing such validity challenges serves the public's interest in the free flow of ideas. 40Link to the text of the note It also provides an outlet that relieves the public from the ever-evolving patent laws of the United States that, at any point in time, could place the public at the mercy of paying for an invalid patent. 41Link to the text of the note</w:t>
      </w:r>
    </w:p>
    <w:p>
      <w:pPr>
        <w:spacing w:after="60"/>
      </w:pPr>
      <w:r>
        <w:rPr>
          <w:b w:val="0"/>
          <w:i w:val="0"/>
          <w:smallCaps w:val="0"/>
          <w:strike w:val="0"/>
          <w:sz w:val="14"/>
          <w:u w:val="none"/>
        </w:rPr>
        <w:t xml:space="preserve">An alternative view suggests that the public policy encouraging patent validity challenges has run its course. 42Link to the text of the note Economic uncertainty in the patent system can stem from an open season of validity challenges, thereby deterring potential investors or patentees from </w:t>
      </w:r>
      <w:r>
        <w:rPr>
          <w:b w:val="0"/>
          <w:i w:val="0"/>
          <w:smallCaps w:val="0"/>
          <w:strike w:val="0"/>
          <w:sz w:val="14"/>
          <w:u w:val="none"/>
        </w:rPr>
        <w:t>entering into</w:t>
      </w:r>
      <w:r>
        <w:rPr>
          <w:b w:val="0"/>
          <w:i w:val="0"/>
          <w:smallCaps w:val="0"/>
          <w:strike w:val="0"/>
          <w:sz w:val="14"/>
          <w:u w:val="none"/>
        </w:rPr>
        <w:t xml:space="preserve"> long-term research and development commitments. 43Link to the text of the note </w:t>
      </w:r>
      <w:r>
        <w:rPr>
          <w:b w:val="0"/>
          <w:i w:val="0"/>
          <w:smallCaps w:val="0"/>
          <w:strike w:val="0"/>
          <w:sz w:val="20"/>
          <w:u w:val="single"/>
        </w:rPr>
        <w:t xml:space="preserve">A </w:t>
      </w:r>
      <w:r>
        <w:rPr>
          <w:b w:val="0"/>
          <w:i w:val="0"/>
          <w:smallCaps w:val="0"/>
          <w:strike w:val="0"/>
          <w:sz w:val="20"/>
          <w:highlight w:val="cyan"/>
          <w:u w:val="single"/>
        </w:rPr>
        <w:t>slippery</w:t>
      </w:r>
      <w:r>
        <w:rPr>
          <w:b w:val="0"/>
          <w:i w:val="0"/>
          <w:smallCaps w:val="0"/>
          <w:strike w:val="0"/>
          <w:sz w:val="20"/>
          <w:highlight w:val="cyan"/>
          <w:u w:val="single"/>
        </w:rPr>
        <w:t xml:space="preserve"> </w:t>
      </w:r>
      <w:r>
        <w:rPr>
          <w:b w:val="0"/>
          <w:i w:val="0"/>
          <w:smallCaps w:val="0"/>
          <w:strike w:val="0"/>
          <w:sz w:val="20"/>
          <w:highlight w:val="cyan"/>
          <w:u w:val="single"/>
        </w:rPr>
        <w:t>slope</w:t>
      </w:r>
      <w:r>
        <w:rPr>
          <w:b w:val="0"/>
          <w:i w:val="0"/>
          <w:smallCaps w:val="0"/>
          <w:strike w:val="0"/>
          <w:sz w:val="20"/>
          <w:highlight w:val="cyan"/>
          <w:u w:val="single"/>
        </w:rPr>
        <w:t xml:space="preserve"> </w:t>
      </w:r>
      <w:r>
        <w:rPr>
          <w:b w:val="0"/>
          <w:i w:val="0"/>
          <w:smallCaps w:val="0"/>
          <w:strike w:val="0"/>
          <w:sz w:val="20"/>
          <w:u w:val="single"/>
        </w:rPr>
        <w:t xml:space="preserve">could, in effect, </w:t>
      </w:r>
      <w:r>
        <w:rPr>
          <w:b w:val="0"/>
          <w:i w:val="0"/>
          <w:smallCaps w:val="0"/>
          <w:strike w:val="0"/>
          <w:sz w:val="20"/>
          <w:highlight w:val="cyan"/>
          <w:u w:val="single"/>
        </w:rPr>
        <w:t xml:space="preserve">result in </w:t>
      </w:r>
      <w:r>
        <w:rPr>
          <w:b w:val="0"/>
          <w:i w:val="0"/>
          <w:smallCaps w:val="0"/>
          <w:strike w:val="0"/>
          <w:sz w:val="20"/>
          <w:highlight w:val="cyan"/>
          <w:u w:val="single"/>
        </w:rPr>
        <w:t>decreased</w:t>
      </w:r>
      <w:r>
        <w:rPr>
          <w:b w:val="0"/>
          <w:i w:val="0"/>
          <w:smallCaps w:val="0"/>
          <w:strike w:val="0"/>
          <w:sz w:val="20"/>
          <w:highlight w:val="cyan"/>
          <w:u w:val="single"/>
        </w:rPr>
        <w:t xml:space="preserve"> </w:t>
      </w:r>
      <w:r>
        <w:rPr>
          <w:b w:val="0"/>
          <w:i w:val="0"/>
          <w:smallCaps w:val="0"/>
          <w:strike w:val="0"/>
          <w:sz w:val="20"/>
          <w:highlight w:val="cyan"/>
          <w:u w:val="single"/>
        </w:rPr>
        <w:t>investments</w:t>
      </w:r>
      <w:r>
        <w:rPr>
          <w:b w:val="0"/>
          <w:i w:val="0"/>
          <w:smallCaps w:val="0"/>
          <w:strike w:val="0"/>
          <w:sz w:val="20"/>
          <w:highlight w:val="cyan"/>
          <w:u w:val="single"/>
        </w:rPr>
        <w:t xml:space="preserve"> in tech</w:t>
      </w:r>
      <w:r>
        <w:rPr>
          <w:b w:val="0"/>
          <w:i w:val="0"/>
          <w:smallCaps w:val="0"/>
          <w:strike w:val="0"/>
          <w:sz w:val="20"/>
          <w:u w:val="single"/>
        </w:rPr>
        <w:t xml:space="preserve">nology and </w:t>
      </w:r>
      <w:r>
        <w:rPr>
          <w:b w:val="0"/>
          <w:i w:val="0"/>
          <w:smallCaps w:val="0"/>
          <w:strike w:val="0"/>
          <w:sz w:val="20"/>
          <w:highlight w:val="cyan"/>
          <w:u w:val="single"/>
        </w:rPr>
        <w:t xml:space="preserve">cause a </w:t>
      </w:r>
      <w:r>
        <w:rPr>
          <w:b w:val="0"/>
          <w:i w:val="0"/>
          <w:smallCaps w:val="0"/>
          <w:strike w:val="0"/>
          <w:sz w:val="20"/>
          <w:highlight w:val="cyan"/>
          <w:u w:val="single"/>
        </w:rPr>
        <w:t>spiraling</w:t>
      </w:r>
      <w:r>
        <w:rPr>
          <w:b w:val="0"/>
          <w:i w:val="0"/>
          <w:smallCaps w:val="0"/>
          <w:strike w:val="0"/>
          <w:sz w:val="20"/>
          <w:highlight w:val="cyan"/>
          <w:u w:val="single"/>
        </w:rPr>
        <w:t xml:space="preserve"> </w:t>
      </w:r>
      <w:r>
        <w:rPr>
          <w:b w:val="0"/>
          <w:i w:val="0"/>
          <w:smallCaps w:val="0"/>
          <w:strike w:val="0"/>
          <w:sz w:val="20"/>
          <w:highlight w:val="cyan"/>
          <w:u w:val="single"/>
        </w:rPr>
        <w:t>economic</w:t>
      </w:r>
      <w:r>
        <w:rPr>
          <w:b w:val="0"/>
          <w:i w:val="0"/>
          <w:smallCaps w:val="0"/>
          <w:strike w:val="0"/>
          <w:sz w:val="20"/>
          <w:highlight w:val="cyan"/>
          <w:u w:val="single"/>
        </w:rPr>
        <w:t xml:space="preserve"> </w:t>
      </w:r>
      <w:r>
        <w:rPr>
          <w:b w:val="0"/>
          <w:i w:val="0"/>
          <w:smallCaps w:val="0"/>
          <w:strike w:val="0"/>
          <w:sz w:val="20"/>
          <w:highlight w:val="cyan"/>
          <w:u w:val="single"/>
        </w:rPr>
        <w:t>decline</w:t>
      </w:r>
      <w:r>
        <w:rPr>
          <w:b w:val="0"/>
          <w:i w:val="0"/>
          <w:smallCaps w:val="0"/>
          <w:strike w:val="0"/>
          <w:sz w:val="14"/>
          <w:u w:val="none"/>
        </w:rPr>
        <w:t xml:space="preserve">. 44Link to the text of the note While the possession of unreliable and invalid patents has resulted in a loss of confidence in the past, [*201] remarks from the patent community note that this barely inhibits competition in the United States. 45Link to the text of the note </w:t>
      </w:r>
      <w:r>
        <w:rPr>
          <w:b w:val="0"/>
          <w:i w:val="0"/>
          <w:smallCaps w:val="0"/>
          <w:strike w:val="0"/>
          <w:sz w:val="14"/>
          <w:u w:val="none"/>
        </w:rPr>
        <w:t>And</w:t>
      </w:r>
      <w:r>
        <w:rPr>
          <w:b w:val="0"/>
          <w:i w:val="0"/>
          <w:smallCaps w:val="0"/>
          <w:strike w:val="0"/>
          <w:sz w:val="14"/>
          <w:u w:val="none"/>
        </w:rPr>
        <w:t xml:space="preserve"> yet, </w:t>
      </w:r>
      <w:r>
        <w:rPr>
          <w:b w:val="0"/>
          <w:i w:val="0"/>
          <w:smallCaps w:val="0"/>
          <w:strike w:val="0"/>
          <w:sz w:val="20"/>
          <w:u w:val="single"/>
        </w:rPr>
        <w:t xml:space="preserve">parties continue to </w:t>
      </w:r>
      <w:r>
        <w:rPr>
          <w:b w:val="0"/>
          <w:i w:val="0"/>
          <w:smallCaps w:val="0"/>
          <w:strike w:val="0"/>
          <w:sz w:val="20"/>
          <w:highlight w:val="cyan"/>
          <w:u w:val="single"/>
        </w:rPr>
        <w:t xml:space="preserve">pose </w:t>
      </w:r>
      <w:r>
        <w:rPr>
          <w:b w:val="0"/>
          <w:i w:val="0"/>
          <w:smallCaps w:val="0"/>
          <w:strike w:val="0"/>
          <w:sz w:val="20"/>
          <w:highlight w:val="cyan"/>
          <w:u w:val="single"/>
        </w:rPr>
        <w:t>validity</w:t>
      </w:r>
      <w:r>
        <w:rPr>
          <w:b w:val="0"/>
          <w:i w:val="0"/>
          <w:smallCaps w:val="0"/>
          <w:strike w:val="0"/>
          <w:sz w:val="20"/>
          <w:highlight w:val="cyan"/>
          <w:u w:val="single"/>
        </w:rPr>
        <w:t xml:space="preserve"> </w:t>
      </w:r>
      <w:r>
        <w:rPr>
          <w:b w:val="0"/>
          <w:i w:val="0"/>
          <w:smallCaps w:val="0"/>
          <w:strike w:val="0"/>
          <w:sz w:val="20"/>
          <w:highlight w:val="cyan"/>
          <w:u w:val="single"/>
        </w:rPr>
        <w:t>challenges</w:t>
      </w:r>
      <w:r>
        <w:rPr>
          <w:b w:val="0"/>
          <w:i w:val="0"/>
          <w:smallCaps w:val="0"/>
          <w:strike w:val="0"/>
          <w:sz w:val="14"/>
          <w:u w:val="none"/>
        </w:rPr>
        <w:t xml:space="preserve">. More recently, the Supreme Court, in Oil States Energy Services, L.L.C. v. Greene's Energy Group, has buttressed this policy concern by upholding alternative administrative forums for patent validity challenges. 46Link to the text of the note </w:t>
      </w:r>
      <w:r>
        <w:rPr>
          <w:b w:val="0"/>
          <w:i w:val="0"/>
          <w:smallCaps w:val="0"/>
          <w:strike w:val="0"/>
          <w:sz w:val="14"/>
          <w:u w:val="none"/>
        </w:rPr>
        <w:t>With</w:t>
      </w:r>
      <w:r>
        <w:rPr>
          <w:b w:val="0"/>
          <w:i w:val="0"/>
          <w:smallCaps w:val="0"/>
          <w:strike w:val="0"/>
          <w:sz w:val="14"/>
          <w:u w:val="none"/>
        </w:rPr>
        <w:t xml:space="preserve"> more options available, patent validity challenges remain extant in the realm of patent law, even for an assignee.</w:t>
      </w:r>
    </w:p>
    <w:p>
      <w:pPr>
        <w:spacing w:after="60"/>
      </w:pPr>
      <w:r>
        <w:rPr>
          <w:b w:val="0"/>
          <w:i w:val="0"/>
          <w:smallCaps w:val="0"/>
          <w:strike w:val="0"/>
          <w:sz w:val="14"/>
          <w:u w:val="none"/>
        </w:rPr>
        <w:t xml:space="preserve">For assignees subject to assignee estoppel, the legislative history of § 261, and the </w:t>
      </w:r>
      <w:r>
        <w:rPr>
          <w:b w:val="0"/>
          <w:i w:val="0"/>
          <w:smallCaps w:val="0"/>
          <w:strike w:val="0"/>
          <w:sz w:val="20"/>
          <w:u w:val="single"/>
        </w:rPr>
        <w:t xml:space="preserve">entirety of the Patent Act, is silent with respect to whether an assignee can undergo a </w:t>
      </w:r>
      <w:r>
        <w:rPr>
          <w:b w:val="0"/>
          <w:i w:val="0"/>
          <w:smallCaps w:val="0"/>
          <w:strike w:val="0"/>
          <w:sz w:val="20"/>
          <w:u w:val="single"/>
        </w:rPr>
        <w:t>validity</w:t>
      </w:r>
      <w:r>
        <w:rPr>
          <w:b w:val="0"/>
          <w:i w:val="0"/>
          <w:smallCaps w:val="0"/>
          <w:strike w:val="0"/>
          <w:sz w:val="20"/>
          <w:u w:val="single"/>
        </w:rPr>
        <w:t xml:space="preserve"> </w:t>
      </w:r>
      <w:r>
        <w:rPr>
          <w:b w:val="0"/>
          <w:i w:val="0"/>
          <w:smallCaps w:val="0"/>
          <w:strike w:val="0"/>
          <w:sz w:val="20"/>
          <w:u w:val="single"/>
        </w:rPr>
        <w:t>challenge</w:t>
      </w:r>
      <w:r>
        <w:rPr>
          <w:b w:val="0"/>
          <w:i w:val="0"/>
          <w:smallCaps w:val="0"/>
          <w:strike w:val="0"/>
          <w:sz w:val="20"/>
          <w:u w:val="single"/>
        </w:rPr>
        <w:t xml:space="preserve"> of its own patent</w:t>
      </w:r>
      <w:r>
        <w:rPr>
          <w:b w:val="0"/>
          <w:i w:val="0"/>
          <w:smallCaps w:val="0"/>
          <w:strike w:val="0"/>
          <w:sz w:val="14"/>
          <w:u w:val="none"/>
        </w:rPr>
        <w:t>. 47Link to the text of the note The Senate committee report accompanying the Patent Act of 1952 only reports that the language of § 261 was derived from the prior statute of 1836. 48Link to the text of the note This legislative silence indicates that Congress most likely did not consider a situation where an assignee would want to challenge the validity of its own patent.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