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IPR’s a vital test case to clarify Article III delegation</w:t>
      </w:r>
    </w:p>
    <w:p>
      <w:pPr>
        <w:spacing w:after="80"/>
      </w:pPr>
      <w:r>
        <w:rPr>
          <w:b/>
          <w:i w:val="0"/>
          <w:smallCaps w:val="0"/>
          <w:strike w:val="0"/>
          <w:sz w:val="24"/>
          <w:u w:val="none"/>
        </w:rPr>
        <w:t>Cooper 15</w:t>
      </w:r>
      <w:r>
        <w:rPr>
          <w:b w:val="0"/>
          <w:i w:val="0"/>
          <w:smallCaps w:val="0"/>
          <w:strike w:val="0"/>
          <w:sz w:val="20"/>
          <w:u w:val="none"/>
        </w:rPr>
        <w:t xml:space="preserve"> (J. Carl Cooper, 5/8/15, “J. CARL COOPER AND ECHARGE LICENSING LLC V. MICHELLE K. LEE - PETITION FOR A WRIT OF CERTIORARI”, </w:t>
      </w:r>
      <w:r>
        <w:rPr>
          <w:b w:val="0"/>
          <w:i w:val="0"/>
          <w:smallCaps w:val="0"/>
          <w:strike w:val="0"/>
          <w:sz w:val="20"/>
          <w:u w:val="none"/>
        </w:rPr>
        <w:t xml:space="preserve">, </w:t>
      </w:r>
      <w:r>
        <w:rPr>
          <w:b w:val="0"/>
          <w:i w:val="0"/>
          <w:smallCaps w:val="0"/>
          <w:strike w:val="0"/>
          <w:sz w:val="20"/>
          <w:u w:val="none"/>
        </w:rPr>
        <w:t>A.Jay</w:t>
      </w:r>
      <w:r>
        <w:rPr>
          <w:b w:val="0"/>
          <w:i w:val="0"/>
          <w:smallCaps w:val="0"/>
          <w:strike w:val="0"/>
          <w:sz w:val="20"/>
          <w:u w:val="none"/>
        </w:rPr>
        <w:t>)</w:t>
      </w:r>
    </w:p>
    <w:p>
      <w:pPr>
        <w:spacing w:after="60"/>
      </w:pPr>
      <w:r>
        <w:rPr>
          <w:b w:val="0"/>
          <w:i w:val="0"/>
          <w:smallCaps w:val="0"/>
          <w:strike w:val="0"/>
          <w:sz w:val="20"/>
          <w:highlight w:val="cyan"/>
          <w:u w:val="single"/>
        </w:rPr>
        <w:t>This Case Is</w:t>
      </w:r>
      <w:r>
        <w:rPr>
          <w:b w:val="0"/>
          <w:i w:val="0"/>
          <w:smallCaps w:val="0"/>
          <w:strike w:val="0"/>
          <w:sz w:val="20"/>
          <w:u w:val="single"/>
        </w:rPr>
        <w:t xml:space="preserve"> an </w:t>
      </w:r>
      <w:r>
        <w:rPr>
          <w:b w:val="0"/>
          <w:i w:val="0"/>
          <w:smallCaps w:val="0"/>
          <w:strike w:val="0"/>
          <w:sz w:val="20"/>
          <w:highlight w:val="cyan"/>
          <w:u w:val="single"/>
        </w:rPr>
        <w:t>Ideal</w:t>
      </w:r>
      <w:r>
        <w:rPr>
          <w:b w:val="0"/>
          <w:i w:val="0"/>
          <w:smallCaps w:val="0"/>
          <w:strike w:val="0"/>
          <w:sz w:val="20"/>
          <w:u w:val="single"/>
        </w:rPr>
        <w:t xml:space="preserve"> Vehicle </w:t>
      </w:r>
      <w:r>
        <w:rPr>
          <w:b w:val="0"/>
          <w:i w:val="0"/>
          <w:smallCaps w:val="0"/>
          <w:strike w:val="0"/>
          <w:sz w:val="20"/>
          <w:highlight w:val="cyan"/>
          <w:u w:val="single"/>
        </w:rPr>
        <w:t xml:space="preserve">for Clarifying </w:t>
      </w:r>
      <w:r>
        <w:rPr>
          <w:b w:val="0"/>
          <w:i w:val="0"/>
          <w:smallCaps w:val="0"/>
          <w:strike w:val="0"/>
          <w:sz w:val="20"/>
          <w:highlight w:val="cyan"/>
          <w:u w:val="single"/>
        </w:rPr>
        <w:t>Article III Jurisprudence</w:t>
      </w:r>
      <w:r>
        <w:rPr>
          <w:b w:val="0"/>
          <w:i w:val="0"/>
          <w:smallCaps w:val="0"/>
          <w:strike w:val="0"/>
          <w:sz w:val="20"/>
          <w:highlight w:val="cyan"/>
          <w:u w:val="single"/>
        </w:rPr>
        <w:t>, and</w:t>
      </w:r>
      <w:r>
        <w:rPr>
          <w:b w:val="0"/>
          <w:i w:val="0"/>
          <w:smallCaps w:val="0"/>
          <w:strike w:val="0"/>
          <w:sz w:val="20"/>
          <w:u w:val="single"/>
        </w:rPr>
        <w:t xml:space="preserve"> for </w:t>
      </w:r>
      <w:r>
        <w:rPr>
          <w:b w:val="0"/>
          <w:i w:val="0"/>
          <w:smallCaps w:val="0"/>
          <w:strike w:val="0"/>
          <w:sz w:val="20"/>
          <w:highlight w:val="cyan"/>
          <w:u w:val="single"/>
        </w:rPr>
        <w:t>Fixing</w:t>
      </w:r>
      <w:r>
        <w:rPr>
          <w:b w:val="0"/>
          <w:i w:val="0"/>
          <w:smallCaps w:val="0"/>
          <w:strike w:val="0"/>
          <w:sz w:val="20"/>
          <w:u w:val="single"/>
        </w:rPr>
        <w:t xml:space="preserve"> the </w:t>
      </w:r>
      <w:r>
        <w:rPr>
          <w:b w:val="0"/>
          <w:i w:val="0"/>
          <w:smallCaps w:val="0"/>
          <w:strike w:val="0"/>
          <w:sz w:val="20"/>
          <w:highlight w:val="cyan"/>
          <w:u w:val="single"/>
        </w:rPr>
        <w:t>Constitutional Damage</w:t>
      </w:r>
      <w:r>
        <w:rPr>
          <w:b w:val="0"/>
          <w:i w:val="0"/>
          <w:smallCaps w:val="0"/>
          <w:strike w:val="0"/>
          <w:sz w:val="20"/>
          <w:u w:val="single"/>
        </w:rPr>
        <w:t xml:space="preserve"> to the Patent System</w:t>
      </w:r>
    </w:p>
    <w:p>
      <w:pPr>
        <w:spacing w:after="60"/>
      </w:pPr>
      <w:r>
        <w:rPr>
          <w:b w:val="0"/>
          <w:i w:val="0"/>
          <w:smallCaps w:val="0"/>
          <w:strike w:val="0"/>
          <w:sz w:val="20"/>
          <w:u w:val="single"/>
        </w:rPr>
        <w:t>This case presents an ideal vehicle for clarifying the Court’s Article III Separation of Powers jurisprudence. It would also be the first time in 30 years</w:t>
      </w:r>
      <w:r>
        <w:rPr>
          <w:b w:val="0"/>
          <w:i w:val="0"/>
          <w:smallCaps w:val="0"/>
          <w:strike w:val="0"/>
          <w:sz w:val="16"/>
          <w:u w:val="none"/>
        </w:rPr>
        <w:t xml:space="preserve"> (since Schor) </w:t>
      </w:r>
      <w:r>
        <w:rPr>
          <w:b w:val="0"/>
          <w:i w:val="0"/>
          <w:smallCaps w:val="0"/>
          <w:strike w:val="0"/>
          <w:sz w:val="20"/>
          <w:u w:val="single"/>
        </w:rPr>
        <w:t>for this Court to address directly the constitutional limits on the growth of the administrative state</w:t>
      </w:r>
      <w:r>
        <w:rPr>
          <w:b w:val="0"/>
          <w:i w:val="0"/>
          <w:smallCaps w:val="0"/>
          <w:strike w:val="0"/>
          <w:sz w:val="16"/>
          <w:u w:val="none"/>
        </w:rPr>
        <w:t xml:space="preserve">. In the process, </w:t>
      </w:r>
      <w:r>
        <w:rPr>
          <w:b w:val="0"/>
          <w:i w:val="0"/>
          <w:smallCaps w:val="0"/>
          <w:strike w:val="0"/>
          <w:sz w:val="20"/>
          <w:highlight w:val="cyan"/>
          <w:u w:val="single"/>
        </w:rPr>
        <w:t xml:space="preserve">the Court may restore </w:t>
      </w:r>
      <w:r>
        <w:rPr>
          <w:b w:val="0"/>
          <w:i w:val="0"/>
          <w:smallCaps w:val="0"/>
          <w:strike w:val="0"/>
          <w:sz w:val="20"/>
          <w:highlight w:val="cyan"/>
          <w:u w:val="single"/>
        </w:rPr>
        <w:t>needed certainty</w:t>
      </w:r>
      <w:r>
        <w:rPr>
          <w:b w:val="0"/>
          <w:i w:val="0"/>
          <w:smallCaps w:val="0"/>
          <w:strike w:val="0"/>
          <w:sz w:val="20"/>
          <w:highlight w:val="cyan"/>
          <w:u w:val="single"/>
        </w:rPr>
        <w:t xml:space="preserve"> over</w:t>
      </w:r>
      <w:r>
        <w:rPr>
          <w:b w:val="0"/>
          <w:i w:val="0"/>
          <w:smallCaps w:val="0"/>
          <w:strike w:val="0"/>
          <w:sz w:val="20"/>
          <w:u w:val="single"/>
        </w:rPr>
        <w:t xml:space="preserve"> the </w:t>
      </w:r>
      <w:r>
        <w:rPr>
          <w:b w:val="0"/>
          <w:i w:val="0"/>
          <w:smallCaps w:val="0"/>
          <w:strike w:val="0"/>
          <w:sz w:val="20"/>
          <w:highlight w:val="cyan"/>
          <w:u w:val="single"/>
        </w:rPr>
        <w:t>validity of</w:t>
      </w:r>
      <w:r>
        <w:rPr>
          <w:b w:val="0"/>
          <w:i w:val="0"/>
          <w:smallCaps w:val="0"/>
          <w:strike w:val="0"/>
          <w:sz w:val="20"/>
          <w:u w:val="single"/>
        </w:rPr>
        <w:t xml:space="preserve"> valuable </w:t>
      </w:r>
      <w:r>
        <w:rPr>
          <w:b w:val="0"/>
          <w:i w:val="0"/>
          <w:smallCaps w:val="0"/>
          <w:strike w:val="0"/>
          <w:sz w:val="20"/>
          <w:highlight w:val="cyan"/>
          <w:u w:val="single"/>
        </w:rPr>
        <w:t>patent rights</w:t>
      </w:r>
      <w:r>
        <w:rPr>
          <w:b w:val="0"/>
          <w:i w:val="0"/>
          <w:smallCaps w:val="0"/>
          <w:strike w:val="0"/>
          <w:sz w:val="20"/>
          <w:u w:val="single"/>
        </w:rPr>
        <w:t xml:space="preserve"> that companies at all levels of the economy need to compete on an even playing field.</w:t>
      </w:r>
    </w:p>
    <w:p>
      <w:pPr>
        <w:spacing w:after="60"/>
      </w:pPr>
      <w:r>
        <w:rPr>
          <w:b w:val="0"/>
          <w:i w:val="0"/>
          <w:smallCaps w:val="0"/>
          <w:strike w:val="0"/>
          <w:sz w:val="16"/>
          <w:u w:val="none"/>
        </w:rPr>
        <w:t xml:space="preserve">Further, though the district court here ruled on administrative exhaustion grounds, </w:t>
      </w:r>
      <w:r>
        <w:rPr>
          <w:b w:val="0"/>
          <w:i w:val="0"/>
          <w:smallCaps w:val="0"/>
          <w:strike w:val="0"/>
          <w:sz w:val="20"/>
          <w:highlight w:val="cyan"/>
          <w:u w:val="single"/>
        </w:rPr>
        <w:t>this case may reach</w:t>
      </w:r>
      <w:r>
        <w:rPr>
          <w:b w:val="0"/>
          <w:i w:val="0"/>
          <w:smallCaps w:val="0"/>
          <w:strike w:val="0"/>
          <w:sz w:val="20"/>
          <w:u w:val="single"/>
        </w:rPr>
        <w:t xml:space="preserve"> </w:t>
      </w:r>
      <w:r>
        <w:rPr>
          <w:b w:val="0"/>
          <w:i w:val="0"/>
          <w:smallCaps w:val="0"/>
          <w:strike w:val="0"/>
          <w:sz w:val="20"/>
          <w:u w:val="single"/>
        </w:rPr>
        <w:t xml:space="preserve">the </w:t>
      </w:r>
      <w:r>
        <w:rPr>
          <w:b w:val="0"/>
          <w:i w:val="0"/>
          <w:smallCaps w:val="0"/>
          <w:strike w:val="0"/>
          <w:sz w:val="20"/>
          <w:highlight w:val="cyan"/>
          <w:u w:val="single"/>
        </w:rPr>
        <w:t>constitutional</w:t>
      </w:r>
      <w:r>
        <w:rPr>
          <w:b w:val="0"/>
          <w:i w:val="0"/>
          <w:smallCaps w:val="0"/>
          <w:strike w:val="0"/>
          <w:sz w:val="20"/>
          <w:highlight w:val="cyan"/>
          <w:u w:val="single"/>
        </w:rPr>
        <w:t xml:space="preserve"> questions </w:t>
      </w:r>
      <w:r>
        <w:rPr>
          <w:b w:val="0"/>
          <w:i w:val="0"/>
          <w:smallCaps w:val="0"/>
          <w:strike w:val="0"/>
          <w:sz w:val="20"/>
          <w:highlight w:val="cyan"/>
          <w:u w:val="single"/>
        </w:rPr>
        <w:t>directly</w:t>
      </w:r>
      <w:r>
        <w:rPr>
          <w:b w:val="0"/>
          <w:i w:val="0"/>
          <w:smallCaps w:val="0"/>
          <w:strike w:val="0"/>
          <w:sz w:val="16"/>
          <w:u w:val="none"/>
        </w:rPr>
        <w:t xml:space="preserve">. The district court necessarily reached (and rejected) the unconstitutionality argument, recognizing that a showing of clear unconstitutionality simultaneously triggers relief requiring a constitutional remedy, and negates any administrative exhaustion defense (App. 18a-21a). Thus, </w:t>
      </w:r>
      <w:r>
        <w:rPr>
          <w:b w:val="0"/>
          <w:i w:val="0"/>
          <w:smallCaps w:val="0"/>
          <w:strike w:val="0"/>
          <w:sz w:val="20"/>
          <w:u w:val="single"/>
        </w:rPr>
        <w:t xml:space="preserve">this Court’s review would directly address the district court’s rationale for entering </w:t>
      </w:r>
      <w:r>
        <w:rPr>
          <w:b w:val="0"/>
          <w:i w:val="0"/>
          <w:smallCaps w:val="0"/>
          <w:strike w:val="0"/>
          <w:sz w:val="20"/>
          <w:u w:val="single"/>
        </w:rPr>
        <w:t>judgment, and</w:t>
      </w:r>
      <w:r>
        <w:rPr>
          <w:b w:val="0"/>
          <w:i w:val="0"/>
          <w:smallCaps w:val="0"/>
          <w:strike w:val="0"/>
          <w:sz w:val="20"/>
          <w:u w:val="single"/>
        </w:rPr>
        <w:t xml:space="preserve"> would also directly address the constitutional violation.</w:t>
      </w:r>
    </w:p>
    <w:p>
      <w:pPr>
        <w:spacing w:after="60"/>
      </w:pPr>
      <w:r>
        <w:rPr>
          <w:b w:val="0"/>
          <w:i w:val="0"/>
          <w:smallCaps w:val="0"/>
          <w:strike w:val="0"/>
          <w:sz w:val="20"/>
          <w:u w:val="single"/>
        </w:rPr>
        <w:t xml:space="preserve">The issue has also percolated as much as it ever will. </w:t>
      </w:r>
      <w:r>
        <w:rPr>
          <w:b w:val="0"/>
          <w:i w:val="0"/>
          <w:smallCaps w:val="0"/>
          <w:strike w:val="0"/>
          <w:sz w:val="20"/>
          <w:highlight w:val="cyan"/>
          <w:u w:val="single"/>
        </w:rPr>
        <w:t>Since</w:t>
      </w:r>
      <w:r>
        <w:rPr>
          <w:b w:val="0"/>
          <w:i w:val="0"/>
          <w:smallCaps w:val="0"/>
          <w:strike w:val="0"/>
          <w:sz w:val="20"/>
          <w:u w:val="single"/>
        </w:rPr>
        <w:t xml:space="preserve"> this </w:t>
      </w:r>
      <w:r>
        <w:rPr>
          <w:b w:val="0"/>
          <w:i w:val="0"/>
          <w:smallCaps w:val="0"/>
          <w:strike w:val="0"/>
          <w:sz w:val="20"/>
          <w:highlight w:val="cyan"/>
          <w:u w:val="single"/>
        </w:rPr>
        <w:t xml:space="preserve">appeal arises from the Federal Circuit, </w:t>
      </w:r>
      <w:r>
        <w:rPr>
          <w:b w:val="0"/>
          <w:i w:val="0"/>
          <w:smallCaps w:val="0"/>
          <w:strike w:val="0"/>
          <w:sz w:val="20"/>
          <w:highlight w:val="cyan"/>
          <w:u w:val="single"/>
        </w:rPr>
        <w:t>no</w:t>
      </w:r>
      <w:r>
        <w:rPr>
          <w:b w:val="0"/>
          <w:i w:val="0"/>
          <w:smallCaps w:val="0"/>
          <w:strike w:val="0"/>
          <w:sz w:val="20"/>
          <w:u w:val="single"/>
        </w:rPr>
        <w:t xml:space="preserve"> other circuit </w:t>
      </w:r>
      <w:r>
        <w:rPr>
          <w:b w:val="0"/>
          <w:i w:val="0"/>
          <w:smallCaps w:val="0"/>
          <w:strike w:val="0"/>
          <w:sz w:val="20"/>
          <w:highlight w:val="cyan"/>
          <w:u w:val="single"/>
        </w:rPr>
        <w:t>court</w:t>
      </w:r>
      <w:r>
        <w:rPr>
          <w:b w:val="0"/>
          <w:i w:val="0"/>
          <w:smallCaps w:val="0"/>
          <w:strike w:val="0"/>
          <w:sz w:val="20"/>
          <w:highlight w:val="cyan"/>
          <w:u w:val="single"/>
        </w:rPr>
        <w:t xml:space="preserve"> will</w:t>
      </w:r>
      <w:r>
        <w:rPr>
          <w:b w:val="0"/>
          <w:i w:val="0"/>
          <w:smallCaps w:val="0"/>
          <w:strike w:val="0"/>
          <w:sz w:val="20"/>
          <w:u w:val="single"/>
        </w:rPr>
        <w:t xml:space="preserve"> likely </w:t>
      </w:r>
      <w:r>
        <w:rPr>
          <w:b w:val="0"/>
          <w:i w:val="0"/>
          <w:smallCaps w:val="0"/>
          <w:strike w:val="0"/>
          <w:sz w:val="20"/>
          <w:highlight w:val="cyan"/>
          <w:u w:val="single"/>
        </w:rPr>
        <w:t>weigh in</w:t>
      </w:r>
      <w:r>
        <w:rPr>
          <w:b w:val="0"/>
          <w:i w:val="0"/>
          <w:smallCaps w:val="0"/>
          <w:strike w:val="0"/>
          <w:sz w:val="20"/>
          <w:u w:val="single"/>
        </w:rPr>
        <w:t xml:space="preserve"> on the constitutionality of IPRs</w:t>
      </w:r>
      <w:r>
        <w:rPr>
          <w:b w:val="0"/>
          <w:i w:val="0"/>
          <w:smallCaps w:val="0"/>
          <w:strike w:val="0"/>
          <w:sz w:val="16"/>
          <w:u w:val="none"/>
        </w:rPr>
        <w:t xml:space="preserve">. Even here, </w:t>
      </w:r>
      <w:r>
        <w:rPr>
          <w:b w:val="0"/>
          <w:i w:val="0"/>
          <w:smallCaps w:val="0"/>
          <w:strike w:val="0"/>
          <w:sz w:val="20"/>
          <w:u w:val="single"/>
        </w:rPr>
        <w:t xml:space="preserve">the Fourth Circuit transferred the underlying appeal to the Federal Circuit, on the grounds that the constitutional challenge lies within its exclusive jurisdiction. Virtually </w:t>
      </w:r>
      <w:r>
        <w:rPr>
          <w:b w:val="0"/>
          <w:i w:val="0"/>
          <w:smallCaps w:val="0"/>
          <w:strike w:val="0"/>
          <w:sz w:val="20"/>
          <w:highlight w:val="cyan"/>
          <w:u w:val="single"/>
        </w:rPr>
        <w:t>no chance</w:t>
      </w:r>
      <w:r>
        <w:rPr>
          <w:b w:val="0"/>
          <w:i w:val="0"/>
          <w:smallCaps w:val="0"/>
          <w:strike w:val="0"/>
          <w:sz w:val="20"/>
          <w:highlight w:val="cyan"/>
          <w:u w:val="single"/>
        </w:rPr>
        <w:t xml:space="preserve"> exists that the</w:t>
      </w:r>
      <w:r>
        <w:rPr>
          <w:b w:val="0"/>
          <w:i w:val="0"/>
          <w:smallCaps w:val="0"/>
          <w:strike w:val="0"/>
          <w:sz w:val="20"/>
          <w:u w:val="single"/>
        </w:rPr>
        <w:t xml:space="preserve"> Federal </w:t>
      </w:r>
      <w:r>
        <w:rPr>
          <w:b w:val="0"/>
          <w:i w:val="0"/>
          <w:smallCaps w:val="0"/>
          <w:strike w:val="0"/>
          <w:sz w:val="20"/>
          <w:highlight w:val="cyan"/>
          <w:u w:val="single"/>
        </w:rPr>
        <w:t>Circuit will pick up the issue again</w:t>
      </w:r>
      <w:r>
        <w:rPr>
          <w:b w:val="0"/>
          <w:i w:val="0"/>
          <w:smallCaps w:val="0"/>
          <w:strike w:val="0"/>
          <w:sz w:val="20"/>
          <w:u w:val="single"/>
        </w:rPr>
        <w:t xml:space="preserve"> and change its mind, </w:t>
      </w:r>
      <w:r>
        <w:rPr>
          <w:b w:val="0"/>
          <w:i w:val="0"/>
          <w:smallCaps w:val="0"/>
          <w:strike w:val="0"/>
          <w:sz w:val="20"/>
          <w:u w:val="single"/>
        </w:rPr>
        <w:t xml:space="preserve">since </w:t>
      </w:r>
      <w:r>
        <w:rPr>
          <w:b w:val="0"/>
          <w:i w:val="0"/>
          <w:smallCaps w:val="0"/>
          <w:strike w:val="0"/>
          <w:sz w:val="20"/>
          <w:highlight w:val="cyan"/>
          <w:u w:val="single"/>
        </w:rPr>
        <w:t>a panel of that court has</w:t>
      </w:r>
      <w:r>
        <w:rPr>
          <w:b w:val="0"/>
          <w:i w:val="0"/>
          <w:smallCaps w:val="0"/>
          <w:strike w:val="0"/>
          <w:sz w:val="20"/>
          <w:u w:val="single"/>
        </w:rPr>
        <w:t xml:space="preserve"> already </w:t>
      </w:r>
      <w:r>
        <w:rPr>
          <w:b w:val="0"/>
          <w:i w:val="0"/>
          <w:smallCaps w:val="0"/>
          <w:strike w:val="0"/>
          <w:sz w:val="20"/>
          <w:highlight w:val="cyan"/>
          <w:u w:val="single"/>
        </w:rPr>
        <w:t>spoken</w:t>
      </w:r>
      <w:r>
        <w:rPr>
          <w:b w:val="0"/>
          <w:i w:val="0"/>
          <w:smallCaps w:val="0"/>
          <w:strike w:val="0"/>
          <w:sz w:val="16"/>
          <w:u w:val="none"/>
        </w:rPr>
        <w:t>. At the Federal Circuit, once a panel rules on a contested issue surrounding AIA administration, future panels have a practice of issuing affirmances without opinion under that court’s Federal Circuit Rule 36 in subsequent challenges seeking to change the original holding.</w:t>
      </w:r>
    </w:p>
    <w:p>
      <w:pPr>
        <w:spacing w:after="60"/>
      </w:pPr>
      <w:r>
        <w:rPr>
          <w:b w:val="0"/>
          <w:i w:val="0"/>
          <w:smallCaps w:val="0"/>
          <w:strike w:val="0"/>
          <w:sz w:val="20"/>
          <w:u w:val="single"/>
        </w:rPr>
        <w:t xml:space="preserve">The </w:t>
      </w:r>
      <w:r>
        <w:rPr>
          <w:b w:val="0"/>
          <w:i w:val="0"/>
          <w:smallCaps w:val="0"/>
          <w:strike w:val="0"/>
          <w:sz w:val="20"/>
          <w:highlight w:val="cyan"/>
          <w:u w:val="single"/>
        </w:rPr>
        <w:t>constitutional violations</w:t>
      </w:r>
      <w:r>
        <w:rPr>
          <w:b w:val="0"/>
          <w:i w:val="0"/>
          <w:smallCaps w:val="0"/>
          <w:strike w:val="0"/>
          <w:sz w:val="20"/>
          <w:u w:val="single"/>
        </w:rPr>
        <w:t xml:space="preserve"> shown </w:t>
      </w:r>
      <w:r>
        <w:rPr>
          <w:b w:val="0"/>
          <w:i w:val="0"/>
          <w:smallCaps w:val="0"/>
          <w:strike w:val="0"/>
          <w:sz w:val="20"/>
          <w:highlight w:val="cyan"/>
          <w:u w:val="single"/>
        </w:rPr>
        <w:t>here are</w:t>
      </w:r>
      <w:r>
        <w:rPr>
          <w:b w:val="0"/>
          <w:i w:val="0"/>
          <w:smallCaps w:val="0"/>
          <w:strike w:val="0"/>
          <w:sz w:val="20"/>
          <w:u w:val="single"/>
        </w:rPr>
        <w:t xml:space="preserve"> also </w:t>
      </w:r>
      <w:r>
        <w:rPr>
          <w:b w:val="0"/>
          <w:i w:val="0"/>
          <w:smallCaps w:val="0"/>
          <w:strike w:val="0"/>
          <w:sz w:val="20"/>
          <w:highlight w:val="cyan"/>
          <w:u w:val="single"/>
        </w:rPr>
        <w:t xml:space="preserve">capable of </w:t>
      </w:r>
      <w:r>
        <w:rPr>
          <w:b w:val="0"/>
          <w:i w:val="0"/>
          <w:smallCaps w:val="0"/>
          <w:strike w:val="0"/>
          <w:sz w:val="20"/>
          <w:highlight w:val="cyan"/>
          <w:u w:val="single"/>
        </w:rPr>
        <w:t>repetition</w:t>
      </w:r>
      <w:r>
        <w:rPr>
          <w:b w:val="0"/>
          <w:i w:val="0"/>
          <w:smallCaps w:val="0"/>
          <w:strike w:val="0"/>
          <w:sz w:val="20"/>
          <w:highlight w:val="cyan"/>
          <w:u w:val="single"/>
        </w:rPr>
        <w:t>. It is happening</w:t>
      </w:r>
      <w:r>
        <w:rPr>
          <w:b w:val="0"/>
          <w:i w:val="0"/>
          <w:smallCaps w:val="0"/>
          <w:strike w:val="0"/>
          <w:sz w:val="20"/>
          <w:u w:val="single"/>
        </w:rPr>
        <w:t xml:space="preserve"> essentially </w:t>
      </w:r>
      <w:r>
        <w:rPr>
          <w:b w:val="0"/>
          <w:i w:val="0"/>
          <w:smallCaps w:val="0"/>
          <w:strike w:val="0"/>
          <w:sz w:val="20"/>
          <w:highlight w:val="cyan"/>
          <w:u w:val="single"/>
        </w:rPr>
        <w:t>every day</w:t>
      </w:r>
      <w:r>
        <w:rPr>
          <w:b w:val="0"/>
          <w:i w:val="0"/>
          <w:smallCaps w:val="0"/>
          <w:strike w:val="0"/>
          <w:sz w:val="20"/>
          <w:u w:val="single"/>
        </w:rPr>
        <w:t xml:space="preserve">. Patent claim invalidation through IPRs has now reached the rate of approximately 1.27 </w:t>
      </w:r>
      <w:r>
        <w:rPr>
          <w:b w:val="0"/>
          <w:i w:val="0"/>
          <w:smallCaps w:val="0"/>
          <w:strike w:val="0"/>
          <w:sz w:val="20"/>
          <w:u w:val="single"/>
        </w:rPr>
        <w:t>fullyor</w:t>
      </w:r>
      <w:r>
        <w:rPr>
          <w:b w:val="0"/>
          <w:i w:val="0"/>
          <w:smallCaps w:val="0"/>
          <w:strike w:val="0"/>
          <w:sz w:val="20"/>
          <w:u w:val="single"/>
        </w:rPr>
        <w:t xml:space="preserve"> </w:t>
      </w:r>
      <w:r>
        <w:rPr>
          <w:b w:val="0"/>
          <w:i w:val="0"/>
          <w:smallCaps w:val="0"/>
          <w:strike w:val="0"/>
          <w:sz w:val="20"/>
          <w:u w:val="single"/>
        </w:rPr>
        <w:t>partially-invalidating</w:t>
      </w:r>
      <w:r>
        <w:rPr>
          <w:b w:val="0"/>
          <w:i w:val="0"/>
          <w:smallCaps w:val="0"/>
          <w:strike w:val="0"/>
          <w:sz w:val="20"/>
          <w:u w:val="single"/>
        </w:rPr>
        <w:t xml:space="preserve"> determinations per day. </w:t>
      </w:r>
      <w:r>
        <w:rPr>
          <w:b w:val="0"/>
          <w:i w:val="0"/>
          <w:smallCaps w:val="0"/>
          <w:strike w:val="0"/>
          <w:sz w:val="20"/>
          <w:highlight w:val="cyan"/>
          <w:u w:val="single"/>
        </w:rPr>
        <w:t>Infringers are using</w:t>
      </w:r>
      <w:r>
        <w:rPr>
          <w:b w:val="0"/>
          <w:i w:val="0"/>
          <w:smallCaps w:val="0"/>
          <w:strike w:val="0"/>
          <w:sz w:val="20"/>
          <w:u w:val="single"/>
        </w:rPr>
        <w:t xml:space="preserve"> the </w:t>
      </w:r>
      <w:r>
        <w:rPr>
          <w:b w:val="0"/>
          <w:i w:val="0"/>
          <w:smallCaps w:val="0"/>
          <w:strike w:val="0"/>
          <w:sz w:val="20"/>
          <w:highlight w:val="cyan"/>
          <w:u w:val="single"/>
        </w:rPr>
        <w:t>IPR</w:t>
      </w:r>
      <w:r>
        <w:rPr>
          <w:b w:val="0"/>
          <w:i w:val="0"/>
          <w:smallCaps w:val="0"/>
          <w:strike w:val="0"/>
          <w:sz w:val="20"/>
          <w:u w:val="single"/>
        </w:rPr>
        <w:t xml:space="preserve"> procedure </w:t>
      </w:r>
      <w:r>
        <w:rPr>
          <w:b w:val="0"/>
          <w:i w:val="0"/>
          <w:smallCaps w:val="0"/>
          <w:strike w:val="0"/>
          <w:sz w:val="20"/>
          <w:highlight w:val="cyan"/>
          <w:u w:val="single"/>
        </w:rPr>
        <w:t xml:space="preserve">with </w:t>
      </w:r>
      <w:r>
        <w:rPr>
          <w:b w:val="0"/>
          <w:i w:val="0"/>
          <w:smallCaps w:val="0"/>
          <w:strike w:val="0"/>
          <w:sz w:val="20"/>
          <w:highlight w:val="cyan"/>
          <w:u w:val="single"/>
        </w:rPr>
        <w:t>greater frequency</w:t>
      </w:r>
      <w:r>
        <w:rPr>
          <w:b w:val="0"/>
          <w:i w:val="0"/>
          <w:smallCaps w:val="0"/>
          <w:strike w:val="0"/>
          <w:sz w:val="20"/>
          <w:u w:val="single"/>
        </w:rPr>
        <w:t xml:space="preserve"> all the time, and thus unconstitutional invalidations are on the rise from even these high numbers.</w:t>
      </w:r>
    </w:p>
    <w:p>
      <w:pPr>
        <w:spacing w:after="60"/>
      </w:pPr>
      <w:r>
        <w:rPr>
          <w:b w:val="0"/>
          <w:i w:val="0"/>
          <w:smallCaps w:val="0"/>
          <w:strike w:val="0"/>
          <w:sz w:val="16"/>
          <w:u w:val="none"/>
        </w:rPr>
        <w:t xml:space="preserve">Finally, Petitioners recognize the possibility that MCM itself might come before this Court with its own petition. Nonetheless, this case would be the better vehicle. </w:t>
      </w:r>
      <w:r>
        <w:rPr>
          <w:b w:val="0"/>
          <w:i w:val="0"/>
          <w:smallCaps w:val="0"/>
          <w:strike w:val="0"/>
          <w:sz w:val="20"/>
          <w:u w:val="single"/>
        </w:rPr>
        <w:t xml:space="preserve">This is so if for no other reason than </w:t>
      </w:r>
      <w:r>
        <w:rPr>
          <w:b w:val="0"/>
          <w:i w:val="0"/>
          <w:smallCaps w:val="0"/>
          <w:strike w:val="0"/>
          <w:sz w:val="20"/>
          <w:highlight w:val="cyan"/>
          <w:u w:val="single"/>
        </w:rPr>
        <w:t>the</w:t>
      </w:r>
      <w:r>
        <w:rPr>
          <w:b w:val="0"/>
          <w:i w:val="0"/>
          <w:smallCaps w:val="0"/>
          <w:strike w:val="0"/>
          <w:sz w:val="20"/>
          <w:u w:val="single"/>
        </w:rPr>
        <w:t xml:space="preserve"> patent </w:t>
      </w:r>
      <w:r>
        <w:rPr>
          <w:b w:val="0"/>
          <w:i w:val="0"/>
          <w:smallCaps w:val="0"/>
          <w:strike w:val="0"/>
          <w:sz w:val="20"/>
          <w:highlight w:val="cyan"/>
          <w:u w:val="single"/>
        </w:rPr>
        <w:t>system urgently needs</w:t>
      </w:r>
      <w:r>
        <w:rPr>
          <w:b w:val="0"/>
          <w:i w:val="0"/>
          <w:smallCaps w:val="0"/>
          <w:strike w:val="0"/>
          <w:sz w:val="20"/>
          <w:u w:val="single"/>
        </w:rPr>
        <w:t xml:space="preserve"> this </w:t>
      </w:r>
      <w:r>
        <w:rPr>
          <w:b w:val="0"/>
          <w:i w:val="0"/>
          <w:smallCaps w:val="0"/>
          <w:strike w:val="0"/>
          <w:sz w:val="20"/>
          <w:highlight w:val="cyan"/>
          <w:u w:val="single"/>
        </w:rPr>
        <w:t xml:space="preserve">Court’s </w:t>
      </w:r>
      <w:r>
        <w:rPr>
          <w:b w:val="0"/>
          <w:i w:val="0"/>
          <w:smallCaps w:val="0"/>
          <w:strike w:val="0"/>
          <w:sz w:val="20"/>
          <w:highlight w:val="cyan"/>
          <w:u w:val="single"/>
        </w:rPr>
        <w:t>prompt attention</w:t>
      </w:r>
      <w:r>
        <w:rPr>
          <w:b w:val="0"/>
          <w:i w:val="0"/>
          <w:smallCaps w:val="0"/>
          <w:strike w:val="0"/>
          <w:sz w:val="20"/>
          <w:u w:val="single"/>
        </w:rPr>
        <w:t>. Attackers are threatening vested property rights with rising frequency, such that the Patent Office expects to receive 1,667 requests for review by the end of FY2015, taking unconstitutional actions according to its procedures.</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